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EB2FF" w14:textId="23013BCC" w:rsidR="00AF7CB0" w:rsidRPr="001B14C1" w:rsidRDefault="003B209A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>
        <w:rPr>
          <w:rFonts w:cs="Arial"/>
          <w:sz w:val="24"/>
          <w:szCs w:val="24"/>
        </w:rPr>
        <w:t xml:space="preserve">3GPP TSG-RAN WG4 Meeting </w:t>
      </w:r>
      <w:hyperlink r:id="rId7" w:history="1">
        <w:r>
          <w:rPr>
            <w:rFonts w:cs="Arial"/>
            <w:sz w:val="24"/>
            <w:szCs w:val="24"/>
            <w:lang w:eastAsia="zh-CN"/>
          </w:rPr>
          <w:t>92</w:t>
        </w:r>
      </w:hyperlink>
      <w:r w:rsidR="00A129EB">
        <w:rPr>
          <w:rFonts w:cs="Arial"/>
          <w:sz w:val="24"/>
          <w:szCs w:val="24"/>
          <w:lang w:eastAsia="zh-CN"/>
        </w:rPr>
        <w:t>bis</w:t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rPr>
          <w:rFonts w:eastAsia="SimSun" w:hint="eastAsia"/>
          <w:lang w:eastAsia="zh-CN"/>
        </w:rPr>
        <w:t xml:space="preserve">  </w:t>
      </w:r>
      <w:r w:rsidR="00AF7CB0">
        <w:tab/>
        <w:t xml:space="preserve">        </w:t>
      </w:r>
      <w:r w:rsidR="00AF7CB0">
        <w:rPr>
          <w:rFonts w:eastAsia="SimSun" w:hint="eastAsia"/>
          <w:lang w:eastAsia="zh-CN"/>
        </w:rPr>
        <w:t xml:space="preserve"> </w:t>
      </w:r>
      <w:r w:rsidR="00A278D8">
        <w:t>R4-191</w:t>
      </w:r>
      <w:r w:rsidR="00DD4E7E">
        <w:t>2460</w:t>
      </w:r>
    </w:p>
    <w:bookmarkEnd w:id="0"/>
    <w:bookmarkEnd w:id="1"/>
    <w:p w14:paraId="6CED561F" w14:textId="02537C07" w:rsidR="003B209A" w:rsidRDefault="00A129EB" w:rsidP="003B209A">
      <w:pPr>
        <w:pStyle w:val="CRCoverPage"/>
        <w:spacing w:after="0"/>
        <w:outlineLvl w:val="0"/>
        <w:rPr>
          <w:b/>
          <w:bCs/>
          <w:noProof/>
          <w:sz w:val="22"/>
          <w:lang w:eastAsia="zh-CN"/>
        </w:rPr>
      </w:pPr>
      <w:r>
        <w:rPr>
          <w:b/>
          <w:bCs/>
          <w:noProof/>
          <w:sz w:val="22"/>
          <w:lang w:eastAsia="zh-CN"/>
        </w:rPr>
        <w:t>Chongqing , China, 14</w:t>
      </w:r>
      <w:r w:rsidR="003B209A">
        <w:rPr>
          <w:b/>
          <w:bCs/>
          <w:noProof/>
          <w:sz w:val="22"/>
          <w:lang w:eastAsia="zh-CN"/>
        </w:rPr>
        <w:t xml:space="preserve">th – </w:t>
      </w:r>
      <w:r>
        <w:rPr>
          <w:b/>
          <w:bCs/>
          <w:noProof/>
          <w:sz w:val="22"/>
          <w:lang w:eastAsia="zh-CN"/>
        </w:rPr>
        <w:t>18</w:t>
      </w:r>
      <w:r w:rsidR="003B209A">
        <w:rPr>
          <w:b/>
          <w:bCs/>
          <w:noProof/>
          <w:sz w:val="22"/>
          <w:lang w:eastAsia="zh-CN"/>
        </w:rPr>
        <w:t xml:space="preserve">th </w:t>
      </w:r>
      <w:r>
        <w:rPr>
          <w:b/>
          <w:bCs/>
          <w:noProof/>
          <w:sz w:val="22"/>
          <w:lang w:eastAsia="zh-CN"/>
        </w:rPr>
        <w:t>October</w:t>
      </w:r>
      <w:r w:rsidR="003B209A">
        <w:rPr>
          <w:b/>
          <w:bCs/>
          <w:noProof/>
          <w:sz w:val="22"/>
          <w:lang w:eastAsia="zh-CN"/>
        </w:rPr>
        <w:t xml:space="preserve"> 2019</w:t>
      </w:r>
    </w:p>
    <w:p w14:paraId="26F858F2" w14:textId="299F9C0E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6AD6CE49" w14:textId="77777777" w:rsidR="003B209A" w:rsidRDefault="0043450E" w:rsidP="003B209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3B209A">
        <w:rPr>
          <w:rFonts w:ascii="Arial" w:hAnsi="Arial" w:cs="Arial"/>
          <w:sz w:val="22"/>
        </w:rPr>
        <w:t>Skyworks Solutions, Inc.</w:t>
      </w:r>
    </w:p>
    <w:p w14:paraId="5B6A96A7" w14:textId="7AAE748C" w:rsidR="0043450E" w:rsidRDefault="0043450E" w:rsidP="003B209A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 w:rsidR="0078280A">
        <w:rPr>
          <w:sz w:val="22"/>
        </w:rPr>
        <w:t xml:space="preserve">Input to </w:t>
      </w:r>
      <w:r w:rsidR="00581D92">
        <w:rPr>
          <w:sz w:val="22"/>
        </w:rPr>
        <w:t>Way Forward (</w:t>
      </w:r>
      <w:r w:rsidR="0078280A">
        <w:rPr>
          <w:sz w:val="22"/>
        </w:rPr>
        <w:t>WF</w:t>
      </w:r>
      <w:r w:rsidR="00581D92">
        <w:rPr>
          <w:sz w:val="22"/>
        </w:rPr>
        <w:t>)</w:t>
      </w:r>
      <w:r w:rsidR="0078280A">
        <w:rPr>
          <w:sz w:val="22"/>
        </w:rPr>
        <w:t xml:space="preserve"> </w:t>
      </w:r>
      <w:r w:rsidR="00F71569">
        <w:rPr>
          <w:sz w:val="22"/>
        </w:rPr>
        <w:t xml:space="preserve">on </w:t>
      </w:r>
      <w:r w:rsidR="0078280A" w:rsidRPr="0078280A">
        <w:rPr>
          <w:sz w:val="22"/>
        </w:rPr>
        <w:t xml:space="preserve">Transient </w:t>
      </w:r>
      <w:r w:rsidR="00E15613">
        <w:rPr>
          <w:sz w:val="22"/>
        </w:rPr>
        <w:t>P</w:t>
      </w:r>
      <w:r w:rsidR="0078280A" w:rsidRPr="0078280A">
        <w:rPr>
          <w:sz w:val="22"/>
        </w:rPr>
        <w:t xml:space="preserve">eriod </w:t>
      </w:r>
      <w:r w:rsidR="00E15613">
        <w:rPr>
          <w:sz w:val="22"/>
        </w:rPr>
        <w:t>C</w:t>
      </w:r>
      <w:r w:rsidR="0078280A" w:rsidRPr="0078280A">
        <w:rPr>
          <w:sz w:val="22"/>
        </w:rPr>
        <w:t>apability</w:t>
      </w:r>
    </w:p>
    <w:p w14:paraId="23226DA5" w14:textId="6B09D29D" w:rsidR="0043450E" w:rsidRPr="00ED273F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D4E7E" w:rsidRPr="00DD4E7E">
        <w:rPr>
          <w:sz w:val="22"/>
        </w:rPr>
        <w:t>6.5.4.4 Transient period capability [NR_newRAT-Core]</w:t>
      </w:r>
      <w:bookmarkStart w:id="2" w:name="_GoBack"/>
      <w:bookmarkEnd w:id="2"/>
    </w:p>
    <w:p w14:paraId="7AD518C5" w14:textId="049A8732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772B2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B2AD34E" w14:textId="75252BF0" w:rsidR="00D72F3E" w:rsidRDefault="0078280A" w:rsidP="000B5E8E">
      <w:r>
        <w:t xml:space="preserve">In RAN4 #92, </w:t>
      </w:r>
      <w:r w:rsidR="00E15613">
        <w:t xml:space="preserve">a WF on Transient Period Capability has been agreed [1]. </w:t>
      </w:r>
      <w:r w:rsidR="00E830AA">
        <w:t xml:space="preserve">This document </w:t>
      </w:r>
      <w:r w:rsidR="00E15613">
        <w:t>discusses each of the WF topics.</w:t>
      </w:r>
    </w:p>
    <w:p w14:paraId="39F9B954" w14:textId="4B4C6783" w:rsidR="00D72F3E" w:rsidRDefault="00D72F3E" w:rsidP="00D72F3E">
      <w:pPr>
        <w:pStyle w:val="Heading1"/>
      </w:pPr>
      <w:r>
        <w:t>2</w:t>
      </w:r>
      <w:r>
        <w:tab/>
      </w:r>
      <w:r w:rsidR="006D4817">
        <w:t>Discussion</w:t>
      </w:r>
    </w:p>
    <w:p w14:paraId="4D2BDD23" w14:textId="1AEF7664" w:rsidR="006D4817" w:rsidRDefault="00207DF2" w:rsidP="006D4817">
      <w:pPr>
        <w:pStyle w:val="Heading2"/>
      </w:pPr>
      <w:r>
        <w:t>2.1 Issue 1: L</w:t>
      </w:r>
      <w:r w:rsidR="006D4817">
        <w:t xml:space="preserve">ocation of the </w:t>
      </w:r>
      <w:r>
        <w:t>Improved Transient P</w:t>
      </w:r>
      <w:r w:rsidR="006D4817">
        <w:t>eriod</w:t>
      </w:r>
    </w:p>
    <w:p w14:paraId="56D94463" w14:textId="31A44C94" w:rsidR="00A926F1" w:rsidRDefault="00A926F1" w:rsidP="000B0090">
      <w:pPr>
        <w:jc w:val="both"/>
      </w:pPr>
      <w:r>
        <w:t>Two types of transient periods are defined in [2]:</w:t>
      </w:r>
    </w:p>
    <w:p w14:paraId="166EECD7" w14:textId="0C0A0213" w:rsidR="00A926F1" w:rsidRDefault="00A926F1" w:rsidP="000B0090">
      <w:pPr>
        <w:pStyle w:val="B1"/>
        <w:numPr>
          <w:ilvl w:val="0"/>
          <w:numId w:val="13"/>
        </w:numPr>
        <w:jc w:val="both"/>
      </w:pPr>
      <w:r>
        <w:t xml:space="preserve">Type 1: Transient periods which </w:t>
      </w:r>
      <w:r w:rsidR="00A93187">
        <w:t xml:space="preserve">is shared symmetrically across slot or subslot boundaries, </w:t>
      </w:r>
      <w:r w:rsidR="001772B2">
        <w:t>i.e.</w:t>
      </w:r>
      <w:r>
        <w:t xml:space="preserve"> the </w:t>
      </w:r>
      <w:r w:rsidR="00A93187">
        <w:t xml:space="preserve">transient </w:t>
      </w:r>
      <w:r>
        <w:t xml:space="preserve">period is </w:t>
      </w:r>
      <w:r w:rsidR="001772B2">
        <w:t>centred</w:t>
      </w:r>
      <w:r>
        <w:t xml:space="preserve"> at s</w:t>
      </w:r>
      <w:r w:rsidR="00A93187">
        <w:t>lot/subslot</w:t>
      </w:r>
      <w:r>
        <w:t xml:space="preserve"> boundaries. This is the case for example of PUCCH/PUSCH On to ON transitions. In this case, the RF transient is allowed to start anywhere within the period, </w:t>
      </w:r>
      <w:r w:rsidR="001772B2">
        <w:t>i.e.</w:t>
      </w:r>
      <w:r>
        <w:t xml:space="preserve"> transient is allowed to start prior to symbol boundaries.</w:t>
      </w:r>
    </w:p>
    <w:p w14:paraId="01BE1830" w14:textId="77777777" w:rsidR="00DD4DD1" w:rsidRDefault="00A926F1" w:rsidP="00DD4DD1">
      <w:pPr>
        <w:pStyle w:val="B1"/>
        <w:numPr>
          <w:ilvl w:val="0"/>
          <w:numId w:val="13"/>
        </w:numPr>
        <w:jc w:val="both"/>
      </w:pPr>
      <w:r>
        <w:t xml:space="preserve">Type 2: Transient periods which fall entirely into </w:t>
      </w:r>
      <w:r w:rsidR="00581D92">
        <w:t xml:space="preserve">one </w:t>
      </w:r>
      <w:r>
        <w:t>symbol. This is the case</w:t>
      </w:r>
      <w:r w:rsidR="00DD4DD1">
        <w:t xml:space="preserve"> </w:t>
      </w:r>
      <w:r w:rsidR="00DD4DD1" w:rsidRPr="00DD4DD1">
        <w:t>when the PUSCH or PUCCH transmission slot or subslot is shortened due to multiplexing with SRS, or due to a long subslot – short subslot – long subslot transition</w:t>
      </w:r>
      <w:r w:rsidR="00DD4DD1">
        <w:t>.</w:t>
      </w:r>
    </w:p>
    <w:p w14:paraId="3905AB79" w14:textId="337C97AF" w:rsidR="00DD4DD1" w:rsidRDefault="00DD4DD1" w:rsidP="00DD4DD1">
      <w:pPr>
        <w:pStyle w:val="B1"/>
        <w:jc w:val="both"/>
      </w:pPr>
      <w:r w:rsidRPr="00DD4DD1">
        <w:t xml:space="preserve"> </w:t>
      </w:r>
      <w:r>
        <w:t xml:space="preserve">Both transient types are best illustrated in Figure 1 below which is a reproduction of </w:t>
      </w:r>
      <w:r w:rsidRPr="00DD4DD1">
        <w:t>Figure 6.3.3.7-1</w:t>
      </w:r>
      <w:r>
        <w:t xml:space="preserve"> [2].</w:t>
      </w:r>
    </w:p>
    <w:p w14:paraId="2877A93D" w14:textId="363A2C02" w:rsidR="00DD4DD1" w:rsidRDefault="00DD4DD1" w:rsidP="00DD4DD1">
      <w:pPr>
        <w:pStyle w:val="B1"/>
        <w:ind w:left="360" w:firstLine="0"/>
        <w:jc w:val="both"/>
        <w:rPr>
          <w:noProof/>
          <w:lang w:val="en-US"/>
        </w:rPr>
      </w:pPr>
      <w:r w:rsidRPr="000E530E">
        <w:rPr>
          <w:noProof/>
          <w:lang w:val="en-US"/>
        </w:rPr>
        <w:drawing>
          <wp:inline distT="0" distB="0" distL="0" distR="0" wp14:anchorId="70B70B69" wp14:editId="393DAE4F">
            <wp:extent cx="6120765" cy="15967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96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86F32" w14:textId="74E9CC50" w:rsidR="00DD4DD1" w:rsidRDefault="00DD4DD1" w:rsidP="00DD4DD1">
      <w:pPr>
        <w:pStyle w:val="TF"/>
        <w:jc w:val="both"/>
      </w:pPr>
      <w:r w:rsidRPr="00DD4DD1">
        <w:rPr>
          <w:rFonts w:ascii="Times New Roman" w:hAnsi="Times New Roman"/>
        </w:rPr>
        <w:t>Figure 1: PUCCH/PUSCH/SRS time mask when there is a transmission before or after or both before and after SRS, when sounded on the same antenna (Ant ‘x’). Type 1 transients (left) are shared symmetrically at slot/sub-slot boundaries. Type 2 transients fall entirely into one symbol (right side).</w:t>
      </w:r>
    </w:p>
    <w:p w14:paraId="071AA1CF" w14:textId="1369FB82" w:rsidR="00A926F1" w:rsidRDefault="00A926F1" w:rsidP="000B0090">
      <w:pPr>
        <w:pStyle w:val="Heading4"/>
        <w:jc w:val="both"/>
      </w:pPr>
      <w:r>
        <w:t>2.1.1.1 Type 1 transient periods</w:t>
      </w:r>
    </w:p>
    <w:p w14:paraId="63E274C7" w14:textId="414EC50A" w:rsidR="00A926F1" w:rsidRDefault="00830BCF" w:rsidP="000B0090">
      <w:pPr>
        <w:jc w:val="both"/>
      </w:pPr>
      <w:r>
        <w:t xml:space="preserve">For a UE with better transient capability of say “X </w:t>
      </w:r>
      <w:r>
        <w:sym w:font="Symbol" w:char="F06D"/>
      </w:r>
      <w:r>
        <w:t xml:space="preserve">s”, with X &lt; 10 </w:t>
      </w:r>
      <w:r>
        <w:sym w:font="Symbol" w:char="F06D"/>
      </w:r>
      <w:r w:rsidR="00C80065">
        <w:t>s, the</w:t>
      </w:r>
      <w:r>
        <w:t xml:space="preserve"> transient period </w:t>
      </w:r>
      <w:r w:rsidR="00C80065">
        <w:t>“X” is shared symmetrically across slot boundaries with “X/2”</w:t>
      </w:r>
      <w:r w:rsidR="00C80065" w:rsidRPr="00830BCF">
        <w:t xml:space="preserve"> </w:t>
      </w:r>
      <w:r w:rsidR="00C80065">
        <w:sym w:font="Symbol" w:char="F06D"/>
      </w:r>
      <w:r w:rsidR="00C80065">
        <w:t>s overlapping</w:t>
      </w:r>
      <w:r>
        <w:t xml:space="preserve"> the last symbol of preceding slot “N</w:t>
      </w:r>
      <w:r w:rsidRPr="00830BCF">
        <w:rPr>
          <w:vertAlign w:val="subscript"/>
        </w:rPr>
        <w:t>0</w:t>
      </w:r>
      <w:r w:rsidR="00C80065">
        <w:t>”</w:t>
      </w:r>
      <w:r>
        <w:t xml:space="preserve">, and </w:t>
      </w:r>
      <w:r w:rsidR="00C80065">
        <w:t>“X/2”</w:t>
      </w:r>
      <w:r w:rsidR="00C80065" w:rsidRPr="00830BCF">
        <w:t xml:space="preserve"> </w:t>
      </w:r>
      <w:r w:rsidR="00C80065">
        <w:sym w:font="Symbol" w:char="F06D"/>
      </w:r>
      <w:r w:rsidR="00C80065">
        <w:t>s overlapping</w:t>
      </w:r>
      <w:r>
        <w:t xml:space="preserve"> the first symbol of next</w:t>
      </w:r>
      <w:r w:rsidR="00C80065">
        <w:t xml:space="preserve"> the</w:t>
      </w:r>
      <w:r>
        <w:t xml:space="preserve"> slot “N</w:t>
      </w:r>
      <w:r w:rsidRPr="00830BCF">
        <w:rPr>
          <w:vertAlign w:val="subscript"/>
        </w:rPr>
        <w:t>+1</w:t>
      </w:r>
      <w:r>
        <w:t>”. An additional transient diagram is not needed as this definition could be captured in text.</w:t>
      </w:r>
    </w:p>
    <w:p w14:paraId="4305853C" w14:textId="3325E8C4" w:rsidR="00830BCF" w:rsidRPr="00862673" w:rsidRDefault="00830BCF" w:rsidP="000B0090">
      <w:pPr>
        <w:jc w:val="both"/>
        <w:rPr>
          <w:b/>
        </w:rPr>
      </w:pPr>
      <w:r w:rsidRPr="00862673">
        <w:rPr>
          <w:b/>
        </w:rPr>
        <w:t xml:space="preserve">Proposal 1: </w:t>
      </w:r>
      <w:r w:rsidR="00A93187">
        <w:rPr>
          <w:b/>
        </w:rPr>
        <w:t xml:space="preserve">For a UE with transient capability of “X” </w:t>
      </w:r>
      <w:r w:rsidR="00A93187" w:rsidRPr="00862673">
        <w:rPr>
          <w:b/>
        </w:rPr>
        <w:sym w:font="Symbol" w:char="F06D"/>
      </w:r>
      <w:r w:rsidR="00A93187">
        <w:rPr>
          <w:b/>
        </w:rPr>
        <w:t>s</w:t>
      </w:r>
      <w:r w:rsidR="00A93187" w:rsidRPr="00862673">
        <w:rPr>
          <w:b/>
        </w:rPr>
        <w:t xml:space="preserve">, with </w:t>
      </w:r>
      <w:r w:rsidR="00A93187">
        <w:rPr>
          <w:b/>
        </w:rPr>
        <w:t>“</w:t>
      </w:r>
      <w:r w:rsidR="00A93187" w:rsidRPr="00862673">
        <w:rPr>
          <w:b/>
        </w:rPr>
        <w:t>X</w:t>
      </w:r>
      <w:r w:rsidR="00A93187">
        <w:rPr>
          <w:b/>
        </w:rPr>
        <w:t>”</w:t>
      </w:r>
      <w:r w:rsidR="00A93187" w:rsidRPr="00862673">
        <w:rPr>
          <w:b/>
        </w:rPr>
        <w:t xml:space="preserve"> &lt; 10 </w:t>
      </w:r>
      <w:r w:rsidR="00A93187" w:rsidRPr="00862673">
        <w:rPr>
          <w:b/>
        </w:rPr>
        <w:sym w:font="Symbol" w:char="F06D"/>
      </w:r>
      <w:r w:rsidR="00A93187" w:rsidRPr="00862673">
        <w:rPr>
          <w:b/>
        </w:rPr>
        <w:t>s</w:t>
      </w:r>
      <w:r w:rsidR="00A93187">
        <w:rPr>
          <w:b/>
        </w:rPr>
        <w:t>,  w</w:t>
      </w:r>
      <w:r w:rsidR="00862673">
        <w:rPr>
          <w:b/>
        </w:rPr>
        <w:t>hen the transient period is centred on slot</w:t>
      </w:r>
      <w:r w:rsidR="00A93187">
        <w:rPr>
          <w:b/>
        </w:rPr>
        <w:t xml:space="preserve"> or subslot</w:t>
      </w:r>
      <w:r w:rsidR="00862673">
        <w:rPr>
          <w:b/>
        </w:rPr>
        <w:t xml:space="preserve"> boundaries, </w:t>
      </w:r>
      <w:r w:rsidRPr="00862673">
        <w:rPr>
          <w:b/>
        </w:rPr>
        <w:t>the transient period</w:t>
      </w:r>
      <w:r w:rsidR="00862673">
        <w:rPr>
          <w:b/>
        </w:rPr>
        <w:t xml:space="preserve"> “X”</w:t>
      </w:r>
      <w:r w:rsidRPr="00862673">
        <w:rPr>
          <w:b/>
        </w:rPr>
        <w:t xml:space="preserve"> is split </w:t>
      </w:r>
      <w:r w:rsidR="003F24E3">
        <w:rPr>
          <w:b/>
        </w:rPr>
        <w:t>symmetrically</w:t>
      </w:r>
      <w:r w:rsidRPr="00862673">
        <w:rPr>
          <w:b/>
        </w:rPr>
        <w:t xml:space="preserve"> across the slot </w:t>
      </w:r>
      <w:r w:rsidR="00A93187">
        <w:rPr>
          <w:b/>
        </w:rPr>
        <w:t xml:space="preserve">or subslot </w:t>
      </w:r>
      <w:r w:rsidRPr="00862673">
        <w:rPr>
          <w:b/>
        </w:rPr>
        <w:t>boundaries.</w:t>
      </w:r>
    </w:p>
    <w:p w14:paraId="3F5D3BDC" w14:textId="03076AD8" w:rsidR="00862673" w:rsidRDefault="00862673" w:rsidP="000B0090">
      <w:pPr>
        <w:pStyle w:val="Heading4"/>
        <w:jc w:val="both"/>
      </w:pPr>
      <w:r>
        <w:lastRenderedPageBreak/>
        <w:t>2.1.1.1 Type 2 transient periods</w:t>
      </w:r>
    </w:p>
    <w:p w14:paraId="4B560CD0" w14:textId="24A22CCA" w:rsidR="00862673" w:rsidRDefault="00862673" w:rsidP="000B0090">
      <w:pPr>
        <w:jc w:val="both"/>
      </w:pPr>
      <w:r>
        <w:t xml:space="preserve">For a UE with better transient capability of say “X </w:t>
      </w:r>
      <w:r>
        <w:sym w:font="Symbol" w:char="F06D"/>
      </w:r>
      <w:r>
        <w:t xml:space="preserve">s”, with X &lt; 10 </w:t>
      </w:r>
      <w:r>
        <w:sym w:font="Symbol" w:char="F06D"/>
      </w:r>
      <w:r>
        <w:t>s, a type 2 transient period overlaps the last symbol of preceding slot “N</w:t>
      </w:r>
      <w:r w:rsidRPr="00830BCF">
        <w:rPr>
          <w:vertAlign w:val="subscript"/>
        </w:rPr>
        <w:t>0</w:t>
      </w:r>
      <w:r>
        <w:t>” by “X</w:t>
      </w:r>
      <w:r w:rsidRPr="00830BCF">
        <w:t xml:space="preserve"> </w:t>
      </w:r>
      <w:r>
        <w:sym w:font="Symbol" w:char="F06D"/>
      </w:r>
      <w:r>
        <w:t>s”, and overlaps by “X</w:t>
      </w:r>
      <w:r w:rsidRPr="00830BCF">
        <w:t xml:space="preserve"> </w:t>
      </w:r>
      <w:r>
        <w:sym w:font="Symbol" w:char="F06D"/>
      </w:r>
      <w:r>
        <w:t>s” the first symbol of next slot “N</w:t>
      </w:r>
      <w:r>
        <w:rPr>
          <w:vertAlign w:val="subscript"/>
        </w:rPr>
        <w:t>+2</w:t>
      </w:r>
      <w:r>
        <w:t>”. An additional transient diagram is not needed as this definition could be captured in text.</w:t>
      </w:r>
      <w:r w:rsidR="00C80065">
        <w:t xml:space="preserve"> </w:t>
      </w:r>
    </w:p>
    <w:p w14:paraId="5FD17DB4" w14:textId="0D8E9899" w:rsidR="00830BCF" w:rsidRPr="00A926F1" w:rsidRDefault="00862673" w:rsidP="000B0090">
      <w:pPr>
        <w:jc w:val="both"/>
      </w:pPr>
      <w:r w:rsidRPr="00862673">
        <w:rPr>
          <w:b/>
        </w:rPr>
        <w:t>Proposal</w:t>
      </w:r>
      <w:r w:rsidR="006F7B15">
        <w:rPr>
          <w:b/>
        </w:rPr>
        <w:t xml:space="preserve"> 2</w:t>
      </w:r>
      <w:r w:rsidRPr="00862673">
        <w:rPr>
          <w:b/>
        </w:rPr>
        <w:t xml:space="preserve">: </w:t>
      </w:r>
      <w:r w:rsidR="00F905E0">
        <w:rPr>
          <w:b/>
        </w:rPr>
        <w:t xml:space="preserve">For a UE with transient capability of “X” </w:t>
      </w:r>
      <w:r w:rsidR="00F905E0" w:rsidRPr="00862673">
        <w:rPr>
          <w:b/>
        </w:rPr>
        <w:sym w:font="Symbol" w:char="F06D"/>
      </w:r>
      <w:r w:rsidR="00F905E0">
        <w:rPr>
          <w:b/>
        </w:rPr>
        <w:t>s</w:t>
      </w:r>
      <w:r w:rsidR="00F905E0" w:rsidRPr="00862673">
        <w:rPr>
          <w:b/>
        </w:rPr>
        <w:t xml:space="preserve">, with </w:t>
      </w:r>
      <w:r w:rsidR="00F905E0">
        <w:rPr>
          <w:b/>
        </w:rPr>
        <w:t>“</w:t>
      </w:r>
      <w:r w:rsidR="00F905E0" w:rsidRPr="00862673">
        <w:rPr>
          <w:b/>
        </w:rPr>
        <w:t>X</w:t>
      </w:r>
      <w:r w:rsidR="00F905E0">
        <w:rPr>
          <w:b/>
        </w:rPr>
        <w:t>”</w:t>
      </w:r>
      <w:r w:rsidR="00F905E0" w:rsidRPr="00862673">
        <w:rPr>
          <w:b/>
        </w:rPr>
        <w:t xml:space="preserve"> &lt; 10 </w:t>
      </w:r>
      <w:r w:rsidR="00F905E0" w:rsidRPr="00862673">
        <w:rPr>
          <w:b/>
        </w:rPr>
        <w:sym w:font="Symbol" w:char="F06D"/>
      </w:r>
      <w:r w:rsidR="00F905E0" w:rsidRPr="00862673">
        <w:rPr>
          <w:b/>
        </w:rPr>
        <w:t>s</w:t>
      </w:r>
      <w:r w:rsidR="00F905E0">
        <w:rPr>
          <w:b/>
        </w:rPr>
        <w:t xml:space="preserve">, </w:t>
      </w:r>
      <w:r w:rsidR="006C486C">
        <w:rPr>
          <w:b/>
        </w:rPr>
        <w:t>i</w:t>
      </w:r>
      <w:r w:rsidR="006C486C" w:rsidRPr="003467D8">
        <w:rPr>
          <w:b/>
        </w:rPr>
        <w:t>n the case when the PUSCH or PUCCH transmission slot or subslot is shortened due to multiplexing with SRS, or due to a long subslot – short subslot – long subslot transition</w:t>
      </w:r>
      <w:r w:rsidR="006C486C">
        <w:rPr>
          <w:b/>
        </w:rPr>
        <w:t xml:space="preserve">, </w:t>
      </w:r>
      <w:r>
        <w:rPr>
          <w:b/>
        </w:rPr>
        <w:t>“X</w:t>
      </w:r>
      <w:r w:rsidRPr="00862673">
        <w:rPr>
          <w:b/>
        </w:rPr>
        <w:t xml:space="preserve"> </w:t>
      </w:r>
      <w:r w:rsidRPr="00862673">
        <w:rPr>
          <w:b/>
        </w:rPr>
        <w:sym w:font="Symbol" w:char="F06D"/>
      </w:r>
      <w:r w:rsidRPr="00862673">
        <w:rPr>
          <w:b/>
        </w:rPr>
        <w:t>s</w:t>
      </w:r>
      <w:r>
        <w:rPr>
          <w:b/>
        </w:rPr>
        <w:t>”</w:t>
      </w:r>
      <w:r w:rsidR="00717536">
        <w:rPr>
          <w:b/>
        </w:rPr>
        <w:t xml:space="preserve"> transient period</w:t>
      </w:r>
      <w:r w:rsidR="006C486C">
        <w:rPr>
          <w:b/>
        </w:rPr>
        <w:t xml:space="preserve"> applies to</w:t>
      </w:r>
      <w:r>
        <w:rPr>
          <w:b/>
        </w:rPr>
        <w:t xml:space="preserve"> all corresponding transient diagrams</w:t>
      </w:r>
      <w:r w:rsidR="00717536">
        <w:rPr>
          <w:b/>
        </w:rPr>
        <w:t>.</w:t>
      </w:r>
    </w:p>
    <w:p w14:paraId="5325C1EF" w14:textId="7C1FB5FA" w:rsidR="00A926F1" w:rsidRDefault="00F04BC3" w:rsidP="000B0090">
      <w:pPr>
        <w:pStyle w:val="Heading2"/>
        <w:jc w:val="both"/>
      </w:pPr>
      <w:r>
        <w:t>2.2</w:t>
      </w:r>
      <w:r w:rsidR="00A926F1">
        <w:t xml:space="preserve"> Issue 2</w:t>
      </w:r>
      <w:r>
        <w:t xml:space="preserve">: </w:t>
      </w:r>
      <w:r w:rsidR="003F24E3">
        <w:t>Power and Modulation C</w:t>
      </w:r>
      <w:r w:rsidR="00A926F1">
        <w:t>hange</w:t>
      </w:r>
    </w:p>
    <w:p w14:paraId="4C868108" w14:textId="55A4F6F1" w:rsidR="0000476D" w:rsidRDefault="006F7B15" w:rsidP="000B0090">
      <w:pPr>
        <w:jc w:val="both"/>
      </w:pPr>
      <w:r>
        <w:t xml:space="preserve">Power change for NR should adopt the test methodology defined for LTE EVM with exclusion period, </w:t>
      </w:r>
      <w:r w:rsidR="00E63C8D">
        <w:t>i.e.</w:t>
      </w:r>
      <w:r>
        <w:t xml:space="preserve"> </w:t>
      </w:r>
      <w:r w:rsidR="0000476D">
        <w:t>a large power change is triggered by a change in the UL RB allocation at a given constant modulation scheme. To maximize re-use of legacy test equipment, testing could be performed using SCS 15 kHz</w:t>
      </w:r>
      <w:r w:rsidR="007062CC">
        <w:t xml:space="preserve">. </w:t>
      </w:r>
      <w:r w:rsidR="0000476D">
        <w:t xml:space="preserve"> </w:t>
      </w:r>
    </w:p>
    <w:p w14:paraId="13871B3E" w14:textId="236329E6" w:rsidR="007062CC" w:rsidRDefault="001400CF" w:rsidP="000B0090">
      <w:pPr>
        <w:jc w:val="both"/>
      </w:pPr>
      <w:r>
        <w:t xml:space="preserve">Table 1 shows </w:t>
      </w:r>
      <w:r w:rsidR="00E63C8D">
        <w:t>the maximum p</w:t>
      </w:r>
      <w:r w:rsidR="007062CC">
        <w:t xml:space="preserve">ower </w:t>
      </w:r>
      <w:r w:rsidR="00E63C8D">
        <w:t xml:space="preserve">step </w:t>
      </w:r>
      <w:r w:rsidR="005A1037">
        <w:t>for an RB</w:t>
      </w:r>
      <w:r w:rsidR="00E63C8D">
        <w:t xml:space="preserve"> allocation</w:t>
      </w:r>
      <w:r w:rsidR="005A1037">
        <w:t xml:space="preserve"> change</w:t>
      </w:r>
      <w:r w:rsidR="00E63C8D">
        <w:t xml:space="preserve"> that is computed as the</w:t>
      </w:r>
      <w:r w:rsidR="005A1037">
        <w:t xml:space="preserve"> ratio of maximum transmission bandwidth configuration compatible with both waveform types (DFT-S-OFDM and CP-OFDM) to a 1,2,</w:t>
      </w:r>
      <w:r w:rsidR="00E63C8D">
        <w:t>4,</w:t>
      </w:r>
      <w:r w:rsidR="005A1037">
        <w:t xml:space="preserve">16 UL RB allocation. </w:t>
      </w:r>
      <w:r w:rsidR="00E63C8D">
        <w:t>The w</w:t>
      </w:r>
      <w:r w:rsidR="005A1037">
        <w:t xml:space="preserve">orst case </w:t>
      </w:r>
      <w:r w:rsidR="00E63C8D">
        <w:t>power change</w:t>
      </w:r>
      <w:r w:rsidR="005A1037">
        <w:t xml:space="preserve"> is 24 dB, however note that in </w:t>
      </w:r>
      <w:r w:rsidR="00E63C8D">
        <w:t xml:space="preserve">example use-case 1 of </w:t>
      </w:r>
      <w:r w:rsidR="00044165">
        <w:t xml:space="preserve">[3], the maximum </w:t>
      </w:r>
      <w:r w:rsidR="00E63C8D">
        <w:t>power change</w:t>
      </w:r>
      <w:r w:rsidR="00044165">
        <w:t xml:space="preserve"> due to RB change is 12.3 dB. We believe </w:t>
      </w:r>
      <w:r w:rsidR="00E63C8D">
        <w:t xml:space="preserve">the test pattern power change should be large enough to either trigger a </w:t>
      </w:r>
      <w:r w:rsidR="00044165">
        <w:t xml:space="preserve">Power Amplifier (PA) supply voltage </w:t>
      </w:r>
      <w:r w:rsidR="00E63C8D">
        <w:t>change or/and a</w:t>
      </w:r>
      <w:r w:rsidR="00044165">
        <w:t xml:space="preserve"> switching of </w:t>
      </w:r>
      <w:r w:rsidR="00E63C8D">
        <w:t xml:space="preserve">PA </w:t>
      </w:r>
      <w:r w:rsidR="00044165">
        <w:t>mode of operation</w:t>
      </w:r>
      <w:r w:rsidR="00E63C8D">
        <w:t xml:space="preserve">, for example a transition from </w:t>
      </w:r>
      <w:r w:rsidR="00044165">
        <w:t>average power tracking to envelope tracking</w:t>
      </w:r>
      <w:r w:rsidR="00E63C8D">
        <w:t xml:space="preserve"> mode</w:t>
      </w:r>
      <w:r w:rsidR="00044165">
        <w:t xml:space="preserve">. In this respect, our preference is for </w:t>
      </w:r>
      <w:r w:rsidR="00612E77">
        <w:t xml:space="preserve">the largest possible power step, </w:t>
      </w:r>
      <w:r w:rsidR="00E63C8D">
        <w:t>i.e.</w:t>
      </w:r>
      <w:r w:rsidR="00612E77">
        <w:t xml:space="preserve"> </w:t>
      </w:r>
      <w:r w:rsidR="00A34B59">
        <w:t>in a cell bandwidth that is compatible with the greatest number of frequency bands. We propose to adopt 20MHz CBW, SCS 15kHz and a UL RB ratio of [100:1]</w:t>
      </w:r>
      <w:r w:rsidR="00612E77">
        <w:t>. This choice is justified by the fact that considering the allowed relative power step tolerances, the exact value of 24 dB might not be exactly met.</w:t>
      </w:r>
    </w:p>
    <w:p w14:paraId="05E6F2E1" w14:textId="5614A483" w:rsidR="00581D92" w:rsidRPr="00B36885" w:rsidRDefault="00B36885" w:rsidP="000B0090">
      <w:pPr>
        <w:jc w:val="both"/>
        <w:rPr>
          <w:b/>
        </w:rPr>
      </w:pPr>
      <w:r w:rsidRPr="00B36885">
        <w:rPr>
          <w:b/>
        </w:rPr>
        <w:t>Table 1: Power change step size (dB) vs UE channel bandwidth for a minimum UL RB allocation of 1,2,4 and 16 RBs.</w:t>
      </w:r>
    </w:p>
    <w:tbl>
      <w:tblPr>
        <w:tblpPr w:leftFromText="142" w:rightFromText="142" w:vertAnchor="text" w:tblpXSpec="center" w:tblpY="1"/>
        <w:tblOverlap w:val="never"/>
        <w:tblW w:w="47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74"/>
        <w:gridCol w:w="926"/>
        <w:gridCol w:w="642"/>
        <w:gridCol w:w="642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52"/>
      </w:tblGrid>
      <w:tr w:rsidR="001400CF" w:rsidRPr="00414DAE" w14:paraId="5732FB2D" w14:textId="77777777" w:rsidTr="000B1866">
        <w:trPr>
          <w:trHeight w:val="531"/>
        </w:trPr>
        <w:tc>
          <w:tcPr>
            <w:tcW w:w="5000" w:type="pct"/>
            <w:gridSpan w:val="14"/>
            <w:vAlign w:val="center"/>
          </w:tcPr>
          <w:p w14:paraId="7428AAF2" w14:textId="18E37824" w:rsidR="001400CF" w:rsidRPr="00414DAE" w:rsidRDefault="001400CF" w:rsidP="000B1866">
            <w:pPr>
              <w:pStyle w:val="TAH"/>
            </w:pPr>
            <w:r>
              <w:t>Minimum UL RB allocation / UE Channel Bandwidth / Maximum transmission bandwidth configuration compatible with DFT-S-OFDM and CP-OFDM / Power Step size [dB]</w:t>
            </w:r>
          </w:p>
        </w:tc>
      </w:tr>
      <w:tr w:rsidR="00D2602D" w:rsidRPr="00414DAE" w14:paraId="4E855320" w14:textId="77777777" w:rsidTr="000B1866">
        <w:trPr>
          <w:trHeight w:val="531"/>
        </w:trPr>
        <w:tc>
          <w:tcPr>
            <w:tcW w:w="411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C4EBF5" w14:textId="5EF4922A" w:rsidR="005A1037" w:rsidRPr="00414DAE" w:rsidRDefault="005A1037" w:rsidP="000B0090">
            <w:pPr>
              <w:pStyle w:val="TAH"/>
              <w:jc w:val="both"/>
            </w:pPr>
          </w:p>
        </w:tc>
        <w:tc>
          <w:tcPr>
            <w:tcW w:w="492" w:type="pct"/>
            <w:vMerge w:val="restart"/>
            <w:vAlign w:val="center"/>
          </w:tcPr>
          <w:p w14:paraId="6B84D3B4" w14:textId="76450379" w:rsidR="005A1037" w:rsidRDefault="005A1037" w:rsidP="000B1866">
            <w:pPr>
              <w:pStyle w:val="TAH"/>
            </w:pPr>
            <w:r>
              <w:t>Minimum</w:t>
            </w:r>
          </w:p>
          <w:p w14:paraId="61BA9EA5" w14:textId="50A32D65" w:rsidR="005A1037" w:rsidRDefault="005A1037" w:rsidP="000B1866">
            <w:pPr>
              <w:pStyle w:val="TAH"/>
            </w:pPr>
            <w:r>
              <w:t>UL RB</w:t>
            </w:r>
          </w:p>
          <w:p w14:paraId="4AC72FC1" w14:textId="4F64FC54" w:rsidR="005A1037" w:rsidRPr="00414DAE" w:rsidRDefault="005A1037" w:rsidP="000B1866">
            <w:pPr>
              <w:pStyle w:val="TAH"/>
            </w:pPr>
            <w:r>
              <w:t>Allocation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B9D189A" w14:textId="221CED45" w:rsidR="005A1037" w:rsidRPr="00414DAE" w:rsidRDefault="005A1037" w:rsidP="000B1866">
            <w:pPr>
              <w:pStyle w:val="TAH"/>
            </w:pPr>
            <w:r w:rsidRPr="00414DAE">
              <w:t>5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4C5BCDC" w14:textId="77777777" w:rsidR="005A1037" w:rsidRPr="00414DAE" w:rsidRDefault="005A1037" w:rsidP="000B1866">
            <w:pPr>
              <w:pStyle w:val="TAH"/>
            </w:pPr>
            <w:r w:rsidRPr="00414DAE">
              <w:t>10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EB39EF" w14:textId="77777777" w:rsidR="005A1037" w:rsidRPr="00414DAE" w:rsidRDefault="005A1037" w:rsidP="000B1866">
            <w:pPr>
              <w:pStyle w:val="TAH"/>
            </w:pPr>
            <w:r w:rsidRPr="00414DAE">
              <w:t>15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B1A62E3" w14:textId="77777777" w:rsidR="005A1037" w:rsidRPr="00414DAE" w:rsidRDefault="005A1037" w:rsidP="000B1866">
            <w:pPr>
              <w:pStyle w:val="TAH"/>
            </w:pPr>
            <w:r w:rsidRPr="00414DAE">
              <w:t>20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E5068DE" w14:textId="77777777" w:rsidR="005A1037" w:rsidRPr="00414DAE" w:rsidRDefault="005A1037" w:rsidP="000B1866">
            <w:pPr>
              <w:pStyle w:val="TAH"/>
            </w:pPr>
            <w:r w:rsidRPr="00414DAE">
              <w:t>25 MHz</w:t>
            </w:r>
          </w:p>
        </w:tc>
        <w:tc>
          <w:tcPr>
            <w:tcW w:w="341" w:type="pct"/>
            <w:vAlign w:val="center"/>
          </w:tcPr>
          <w:p w14:paraId="4DD3F4A6" w14:textId="77777777" w:rsidR="005A1037" w:rsidRPr="00414DAE" w:rsidRDefault="005A1037" w:rsidP="000B1866">
            <w:pPr>
              <w:pStyle w:val="TAH"/>
            </w:pPr>
            <w:r w:rsidRPr="00414DAE">
              <w:t>30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5D62A3" w14:textId="77777777" w:rsidR="005A1037" w:rsidRPr="00414DAE" w:rsidRDefault="005A1037" w:rsidP="000B1866">
            <w:pPr>
              <w:pStyle w:val="TAH"/>
            </w:pPr>
            <w:r w:rsidRPr="00414DAE">
              <w:t>40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9DFB5B" w14:textId="77777777" w:rsidR="005A1037" w:rsidRPr="00414DAE" w:rsidRDefault="005A1037" w:rsidP="000B1866">
            <w:pPr>
              <w:pStyle w:val="TAH"/>
            </w:pPr>
            <w:r w:rsidRPr="00414DAE">
              <w:t>50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BC09A5E" w14:textId="77777777" w:rsidR="005A1037" w:rsidRPr="00414DAE" w:rsidRDefault="005A1037" w:rsidP="000B1866">
            <w:pPr>
              <w:pStyle w:val="TAH"/>
            </w:pPr>
            <w:r w:rsidRPr="00414DAE">
              <w:t>60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6EEC67E" w14:textId="77777777" w:rsidR="005A1037" w:rsidRPr="00414DAE" w:rsidRDefault="005A1037" w:rsidP="000B1866">
            <w:pPr>
              <w:pStyle w:val="TAH"/>
            </w:pPr>
            <w:r w:rsidRPr="00414DAE">
              <w:t>80 MHz</w:t>
            </w:r>
          </w:p>
        </w:tc>
        <w:tc>
          <w:tcPr>
            <w:tcW w:w="341" w:type="pct"/>
            <w:vAlign w:val="center"/>
          </w:tcPr>
          <w:p w14:paraId="6141880B" w14:textId="77777777" w:rsidR="005A1037" w:rsidRPr="00414DAE" w:rsidRDefault="005A1037" w:rsidP="000B1866">
            <w:pPr>
              <w:pStyle w:val="TAH"/>
            </w:pPr>
            <w:r w:rsidRPr="00414DAE">
              <w:t>90 MHz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A0CF7A6" w14:textId="77777777" w:rsidR="005A1037" w:rsidRPr="00414DAE" w:rsidRDefault="005A1037" w:rsidP="000B1866">
            <w:pPr>
              <w:pStyle w:val="TAH"/>
            </w:pPr>
            <w:r w:rsidRPr="00414DAE">
              <w:t>100 MHz</w:t>
            </w:r>
          </w:p>
        </w:tc>
      </w:tr>
      <w:tr w:rsidR="00D2602D" w:rsidRPr="00414DAE" w14:paraId="25D73B24" w14:textId="77777777" w:rsidTr="000B1866">
        <w:trPr>
          <w:trHeight w:val="284"/>
        </w:trPr>
        <w:tc>
          <w:tcPr>
            <w:tcW w:w="411" w:type="pct"/>
            <w:vMerge/>
            <w:vAlign w:val="center"/>
            <w:hideMark/>
          </w:tcPr>
          <w:p w14:paraId="6BD2D8D3" w14:textId="77777777" w:rsidR="005A1037" w:rsidRPr="00414DAE" w:rsidRDefault="005A1037" w:rsidP="000B0090">
            <w:pPr>
              <w:pStyle w:val="TAH"/>
              <w:jc w:val="both"/>
            </w:pPr>
          </w:p>
        </w:tc>
        <w:tc>
          <w:tcPr>
            <w:tcW w:w="492" w:type="pct"/>
            <w:vMerge/>
            <w:vAlign w:val="center"/>
          </w:tcPr>
          <w:p w14:paraId="03F78031" w14:textId="77777777" w:rsidR="005A1037" w:rsidRPr="00414DAE" w:rsidRDefault="005A1037" w:rsidP="000B0090">
            <w:pPr>
              <w:pStyle w:val="TAH"/>
              <w:jc w:val="both"/>
            </w:pP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D50D91" w14:textId="567FE816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763158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4FC340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0256A1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212F0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vAlign w:val="center"/>
          </w:tcPr>
          <w:p w14:paraId="625D60B8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546363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775A00F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68A4A27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24B6076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vAlign w:val="center"/>
          </w:tcPr>
          <w:p w14:paraId="20C03B60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B2A7AD" w14:textId="77777777" w:rsidR="005A1037" w:rsidRPr="00414DAE" w:rsidRDefault="005A1037" w:rsidP="000B1866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RB</w:t>
            </w:r>
          </w:p>
        </w:tc>
      </w:tr>
      <w:tr w:rsidR="00D2602D" w:rsidRPr="00414DAE" w14:paraId="7B51A4D0" w14:textId="77777777" w:rsidTr="000B1866">
        <w:trPr>
          <w:trHeight w:val="284"/>
        </w:trPr>
        <w:tc>
          <w:tcPr>
            <w:tcW w:w="411" w:type="pct"/>
            <w:vMerge/>
            <w:vAlign w:val="center"/>
          </w:tcPr>
          <w:p w14:paraId="4A1ACA2E" w14:textId="77777777" w:rsidR="005A1037" w:rsidRPr="00414DAE" w:rsidRDefault="005A1037" w:rsidP="000B0090">
            <w:pPr>
              <w:pStyle w:val="TAH"/>
              <w:jc w:val="both"/>
            </w:pPr>
          </w:p>
        </w:tc>
        <w:tc>
          <w:tcPr>
            <w:tcW w:w="492" w:type="pct"/>
            <w:vMerge/>
            <w:vAlign w:val="center"/>
          </w:tcPr>
          <w:p w14:paraId="437E6153" w14:textId="77777777" w:rsidR="005A1037" w:rsidRDefault="005A1037" w:rsidP="000B0090">
            <w:pPr>
              <w:pStyle w:val="TAH"/>
              <w:jc w:val="both"/>
            </w:pP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0CB1098" w14:textId="48FD965E" w:rsidR="005A1037" w:rsidRPr="00414DAE" w:rsidRDefault="005A1037" w:rsidP="000B1866">
            <w:pPr>
              <w:pStyle w:val="TAH"/>
            </w:pPr>
            <w:r>
              <w:t>25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9484E72" w14:textId="0ED86FE5" w:rsidR="005A1037" w:rsidRPr="00414DAE" w:rsidRDefault="005A1037" w:rsidP="000B1866">
            <w:pPr>
              <w:pStyle w:val="TAH"/>
            </w:pPr>
            <w:r>
              <w:t>50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5F619DF" w14:textId="3830D2BE" w:rsidR="005A1037" w:rsidRPr="00414DAE" w:rsidRDefault="005A1037" w:rsidP="000B1866">
            <w:pPr>
              <w:pStyle w:val="TAH"/>
            </w:pPr>
            <w:r>
              <w:t>75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D4B56AB" w14:textId="2073FB55" w:rsidR="005A1037" w:rsidRPr="00414DAE" w:rsidRDefault="005A1037" w:rsidP="000B1866">
            <w:pPr>
              <w:pStyle w:val="TAH"/>
            </w:pPr>
            <w:r>
              <w:t>100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E48A768" w14:textId="4BF77ADC" w:rsidR="005A1037" w:rsidRPr="00414DAE" w:rsidRDefault="005A1037" w:rsidP="000B1866">
            <w:pPr>
              <w:pStyle w:val="TAH"/>
            </w:pPr>
            <w:r>
              <w:t>128</w:t>
            </w:r>
          </w:p>
        </w:tc>
        <w:tc>
          <w:tcPr>
            <w:tcW w:w="341" w:type="pct"/>
            <w:vAlign w:val="center"/>
          </w:tcPr>
          <w:p w14:paraId="144AE69F" w14:textId="40A3D5AC" w:rsidR="005A1037" w:rsidRPr="00414DAE" w:rsidRDefault="005A1037" w:rsidP="000B1866">
            <w:pPr>
              <w:pStyle w:val="TAH"/>
            </w:pPr>
            <w:r>
              <w:t>160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87E3130" w14:textId="3707DCDF" w:rsidR="005A1037" w:rsidRPr="00414DAE" w:rsidRDefault="005A1037" w:rsidP="000B1866">
            <w:pPr>
              <w:pStyle w:val="TAH"/>
            </w:pPr>
            <w:r>
              <w:t>216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C31C698" w14:textId="32EAB722" w:rsidR="005A1037" w:rsidRPr="00414DAE" w:rsidRDefault="005A1037" w:rsidP="000B1866">
            <w:pPr>
              <w:pStyle w:val="TAH"/>
            </w:pPr>
            <w:r>
              <w:t>270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C9C8BFC" w14:textId="21DF5526" w:rsidR="005A1037" w:rsidRPr="005A1037" w:rsidRDefault="005A1037" w:rsidP="000B1866">
            <w:pPr>
              <w:pStyle w:val="TAH"/>
              <w:rPr>
                <w:b w:val="0"/>
              </w:rPr>
            </w:pPr>
            <w:r w:rsidRPr="005A1037">
              <w:rPr>
                <w:b w:val="0"/>
              </w:rPr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CB3296C" w14:textId="0FD2648E" w:rsidR="005A1037" w:rsidRPr="005A1037" w:rsidRDefault="005A1037" w:rsidP="000B1866">
            <w:pPr>
              <w:pStyle w:val="TAH"/>
              <w:rPr>
                <w:b w:val="0"/>
              </w:rPr>
            </w:pPr>
            <w:r w:rsidRPr="005A1037">
              <w:rPr>
                <w:b w:val="0"/>
              </w:rPr>
              <w:t>N/A</w:t>
            </w:r>
          </w:p>
        </w:tc>
        <w:tc>
          <w:tcPr>
            <w:tcW w:w="341" w:type="pct"/>
            <w:vAlign w:val="center"/>
          </w:tcPr>
          <w:p w14:paraId="0048FD23" w14:textId="15685595" w:rsidR="005A1037" w:rsidRPr="005A1037" w:rsidRDefault="005A1037" w:rsidP="000B1866">
            <w:pPr>
              <w:pStyle w:val="TAH"/>
              <w:rPr>
                <w:b w:val="0"/>
              </w:rPr>
            </w:pPr>
            <w:r w:rsidRPr="005A1037">
              <w:rPr>
                <w:b w:val="0"/>
              </w:rPr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B23E695" w14:textId="5EA7FF3B" w:rsidR="005A1037" w:rsidRPr="005A1037" w:rsidRDefault="005A1037" w:rsidP="000B1866">
            <w:pPr>
              <w:pStyle w:val="TAH"/>
              <w:rPr>
                <w:b w:val="0"/>
              </w:rPr>
            </w:pPr>
            <w:r w:rsidRPr="005A1037">
              <w:rPr>
                <w:b w:val="0"/>
              </w:rPr>
              <w:t>N/A</w:t>
            </w:r>
          </w:p>
        </w:tc>
      </w:tr>
      <w:tr w:rsidR="00D2602D" w:rsidRPr="00414DAE" w14:paraId="10895F43" w14:textId="77777777" w:rsidTr="000B1866">
        <w:trPr>
          <w:trHeight w:val="270"/>
        </w:trPr>
        <w:tc>
          <w:tcPr>
            <w:tcW w:w="411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D049CC2" w14:textId="107BE462" w:rsidR="005A1037" w:rsidRPr="005A1037" w:rsidRDefault="005A1037" w:rsidP="000B1866">
            <w:pPr>
              <w:pStyle w:val="TAC"/>
              <w:rPr>
                <w:b/>
              </w:rPr>
            </w:pPr>
            <w:r w:rsidRPr="005A1037">
              <w:rPr>
                <w:b/>
              </w:rPr>
              <w:t>Power Step [dB]</w:t>
            </w:r>
          </w:p>
        </w:tc>
        <w:tc>
          <w:tcPr>
            <w:tcW w:w="492" w:type="pct"/>
            <w:vAlign w:val="center"/>
          </w:tcPr>
          <w:p w14:paraId="5F93C9FF" w14:textId="1F116006" w:rsidR="005A1037" w:rsidRPr="005A1037" w:rsidRDefault="005A1037" w:rsidP="000B1866">
            <w:pPr>
              <w:pStyle w:val="TAC"/>
              <w:rPr>
                <w:b/>
              </w:rPr>
            </w:pPr>
            <w:r w:rsidRPr="005A1037">
              <w:rPr>
                <w:b/>
              </w:rPr>
              <w:t>1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4FE9FA9" w14:textId="1515C337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14.0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3FE06C" w14:textId="2C6FC0F1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17.0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917AC1" w14:textId="6180F1DD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18.8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1F3121" w14:textId="621CF07A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20.0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7AC91DC" w14:textId="0E059627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21.1</w:t>
            </w:r>
          </w:p>
        </w:tc>
        <w:tc>
          <w:tcPr>
            <w:tcW w:w="341" w:type="pct"/>
            <w:vAlign w:val="center"/>
          </w:tcPr>
          <w:p w14:paraId="72647AB6" w14:textId="3C3AA0E9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22.0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3C49780" w14:textId="01FBDA47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23.3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F4B4E1" w14:textId="325AC6A1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24.3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CC2277" w14:textId="77777777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52D320" w14:textId="77777777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vAlign w:val="center"/>
          </w:tcPr>
          <w:p w14:paraId="777A2653" w14:textId="77777777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1D3BBC" w14:textId="77777777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</w:tr>
      <w:tr w:rsidR="00D2602D" w:rsidRPr="00414DAE" w14:paraId="04F33665" w14:textId="77777777" w:rsidTr="000B1866">
        <w:trPr>
          <w:trHeight w:val="270"/>
        </w:trPr>
        <w:tc>
          <w:tcPr>
            <w:tcW w:w="411" w:type="pct"/>
            <w:vMerge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16E87DA" w14:textId="19ECFDFD" w:rsidR="005A1037" w:rsidRDefault="005A1037" w:rsidP="000B0090">
            <w:pPr>
              <w:pStyle w:val="TAC"/>
              <w:jc w:val="both"/>
            </w:pPr>
          </w:p>
        </w:tc>
        <w:tc>
          <w:tcPr>
            <w:tcW w:w="492" w:type="pct"/>
            <w:vAlign w:val="center"/>
          </w:tcPr>
          <w:p w14:paraId="2EBEB7E4" w14:textId="6C50485A" w:rsidR="005A1037" w:rsidRPr="005A1037" w:rsidRDefault="005A1037" w:rsidP="000B1866">
            <w:pPr>
              <w:pStyle w:val="TAC"/>
              <w:rPr>
                <w:b/>
              </w:rPr>
            </w:pPr>
            <w:r w:rsidRPr="005A1037">
              <w:rPr>
                <w:b/>
              </w:rPr>
              <w:t>2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85E7EE0" w14:textId="0F51208D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11.0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C36388F" w14:textId="4ADC3EED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14.0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7248FFB" w14:textId="4DEF8C97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15.7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0B45558" w14:textId="3A80BD5F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17.0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13ADD8C" w14:textId="75F83B31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18.1</w:t>
            </w:r>
          </w:p>
        </w:tc>
        <w:tc>
          <w:tcPr>
            <w:tcW w:w="341" w:type="pct"/>
            <w:vAlign w:val="center"/>
          </w:tcPr>
          <w:p w14:paraId="0A520FC4" w14:textId="5FDC38C3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19.0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93385C2" w14:textId="5CAB60BB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20.3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89F15C2" w14:textId="63D13916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21.3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A126262" w14:textId="3EDDCA33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E551834" w14:textId="5DA2ED1A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vAlign w:val="center"/>
          </w:tcPr>
          <w:p w14:paraId="418E4B1F" w14:textId="4E6EF1D6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AE4C200" w14:textId="11406E18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</w:tr>
      <w:tr w:rsidR="00D2602D" w:rsidRPr="00414DAE" w14:paraId="70D29D2B" w14:textId="77777777" w:rsidTr="000B1866">
        <w:trPr>
          <w:trHeight w:val="270"/>
        </w:trPr>
        <w:tc>
          <w:tcPr>
            <w:tcW w:w="411" w:type="pct"/>
            <w:vMerge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660E394" w14:textId="35C8201D" w:rsidR="005A1037" w:rsidRDefault="005A1037" w:rsidP="000B0090">
            <w:pPr>
              <w:pStyle w:val="TAC"/>
              <w:jc w:val="both"/>
            </w:pPr>
          </w:p>
        </w:tc>
        <w:tc>
          <w:tcPr>
            <w:tcW w:w="492" w:type="pct"/>
            <w:vAlign w:val="center"/>
          </w:tcPr>
          <w:p w14:paraId="7C477BD9" w14:textId="4BDD8242" w:rsidR="005A1037" w:rsidRPr="005A1037" w:rsidRDefault="005A1037" w:rsidP="000B1866">
            <w:pPr>
              <w:pStyle w:val="TAC"/>
              <w:rPr>
                <w:b/>
              </w:rPr>
            </w:pPr>
            <w:r w:rsidRPr="005A1037">
              <w:rPr>
                <w:b/>
              </w:rPr>
              <w:t>4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E079EBF" w14:textId="7443ACD0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61FA81" w14:textId="192399A5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11.0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AD3D6BF" w14:textId="3183B7C7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12.7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BE2137C" w14:textId="74C00A9E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14.0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B125B6E" w14:textId="50E43D8D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15.1</w:t>
            </w:r>
          </w:p>
        </w:tc>
        <w:tc>
          <w:tcPr>
            <w:tcW w:w="341" w:type="pct"/>
            <w:vAlign w:val="center"/>
          </w:tcPr>
          <w:p w14:paraId="4A4A6D91" w14:textId="0AC655E4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16.0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45A2F04" w14:textId="3DD4C1C6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17.3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2CA700A" w14:textId="69A6FFDB" w:rsidR="005A1037" w:rsidRPr="005A1037" w:rsidRDefault="005A1037" w:rsidP="000B1866">
            <w:pPr>
              <w:pStyle w:val="TAC"/>
              <w:rPr>
                <w:rFonts w:cs="Arial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18.3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B390355" w14:textId="4F38D5EF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41833B" w14:textId="52741960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vAlign w:val="center"/>
          </w:tcPr>
          <w:p w14:paraId="6D5466D7" w14:textId="4AFE52C3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9FA4269" w14:textId="19B9E958" w:rsidR="005A1037" w:rsidRPr="00414DAE" w:rsidRDefault="005A1037" w:rsidP="000B1866">
            <w:pPr>
              <w:pStyle w:val="TAC"/>
            </w:pPr>
            <w:r w:rsidRPr="00414DAE">
              <w:t>N/A</w:t>
            </w:r>
          </w:p>
        </w:tc>
      </w:tr>
      <w:tr w:rsidR="00D2602D" w:rsidRPr="00414DAE" w14:paraId="1A0E7A9D" w14:textId="77777777" w:rsidTr="000B1866">
        <w:trPr>
          <w:trHeight w:val="270"/>
        </w:trPr>
        <w:tc>
          <w:tcPr>
            <w:tcW w:w="411" w:type="pct"/>
            <w:vMerge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2FB0E30" w14:textId="77777777" w:rsidR="00044165" w:rsidRDefault="00044165" w:rsidP="000B0090">
            <w:pPr>
              <w:pStyle w:val="TAC"/>
              <w:jc w:val="both"/>
            </w:pPr>
          </w:p>
        </w:tc>
        <w:tc>
          <w:tcPr>
            <w:tcW w:w="492" w:type="pct"/>
            <w:vAlign w:val="center"/>
          </w:tcPr>
          <w:p w14:paraId="345C1A3C" w14:textId="7F7467B3" w:rsidR="00044165" w:rsidRPr="005A1037" w:rsidRDefault="00044165" w:rsidP="000B1866">
            <w:pPr>
              <w:pStyle w:val="TAC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C673E9F" w14:textId="261AAE76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1.9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FDA36E6" w14:textId="68A39D10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4.9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178E6ED" w14:textId="67CD517E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6.7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63FF5F9" w14:textId="4ABC3114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ECC5688" w14:textId="30B3B218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341" w:type="pct"/>
            <w:vAlign w:val="center"/>
          </w:tcPr>
          <w:p w14:paraId="502069A9" w14:textId="78C416C9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10.0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6825276" w14:textId="15AB1595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 w:rsidRPr="005A1037">
              <w:rPr>
                <w:rFonts w:cs="Arial"/>
                <w:color w:val="000000"/>
                <w:szCs w:val="18"/>
              </w:rPr>
              <w:t>11.3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0A23914" w14:textId="7261BC6C" w:rsidR="00044165" w:rsidRPr="005A1037" w:rsidRDefault="00044165" w:rsidP="000B1866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12.3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74A7A7" w14:textId="599F2023" w:rsidR="00044165" w:rsidRPr="00414DAE" w:rsidRDefault="00044165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850A761" w14:textId="48A0B4CF" w:rsidR="00044165" w:rsidRPr="00414DAE" w:rsidRDefault="00044165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vAlign w:val="center"/>
          </w:tcPr>
          <w:p w14:paraId="79321BDC" w14:textId="584537B9" w:rsidR="00044165" w:rsidRPr="00414DAE" w:rsidRDefault="00044165" w:rsidP="000B1866">
            <w:pPr>
              <w:pStyle w:val="TAC"/>
            </w:pPr>
            <w:r w:rsidRPr="00414DAE">
              <w:t>N/A</w:t>
            </w:r>
          </w:p>
        </w:tc>
        <w:tc>
          <w:tcPr>
            <w:tcW w:w="3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263CF25" w14:textId="72779BD5" w:rsidR="00044165" w:rsidRPr="00414DAE" w:rsidRDefault="00044165" w:rsidP="000B1866">
            <w:pPr>
              <w:pStyle w:val="TAC"/>
            </w:pPr>
            <w:r w:rsidRPr="00414DAE">
              <w:t>N/A</w:t>
            </w:r>
          </w:p>
        </w:tc>
      </w:tr>
    </w:tbl>
    <w:p w14:paraId="0A5EED81" w14:textId="77777777" w:rsidR="00D2602D" w:rsidRDefault="00D2602D" w:rsidP="000B0090">
      <w:pPr>
        <w:jc w:val="both"/>
        <w:rPr>
          <w:b/>
        </w:rPr>
      </w:pPr>
    </w:p>
    <w:p w14:paraId="351AD57E" w14:textId="18BB1F46" w:rsidR="000B1866" w:rsidRDefault="007062CC" w:rsidP="000B0090">
      <w:pPr>
        <w:jc w:val="both"/>
        <w:rPr>
          <w:b/>
        </w:rPr>
      </w:pPr>
      <w:r w:rsidRPr="00862673">
        <w:rPr>
          <w:b/>
        </w:rPr>
        <w:t>Proposal</w:t>
      </w:r>
      <w:r w:rsidR="000B1866">
        <w:rPr>
          <w:b/>
        </w:rPr>
        <w:t xml:space="preserve"> 3</w:t>
      </w:r>
      <w:r w:rsidRPr="00862673">
        <w:rPr>
          <w:b/>
        </w:rPr>
        <w:t xml:space="preserve">: </w:t>
      </w:r>
      <w:r w:rsidR="000B1866">
        <w:rPr>
          <w:b/>
        </w:rPr>
        <w:t>For NR EVM due to transient period conformance test,</w:t>
      </w:r>
      <w:r w:rsidR="00FA16A9">
        <w:rPr>
          <w:b/>
        </w:rPr>
        <w:t xml:space="preserve"> </w:t>
      </w:r>
    </w:p>
    <w:p w14:paraId="47CA6A09" w14:textId="66621918" w:rsidR="000B1866" w:rsidRDefault="000B1866" w:rsidP="000B1866">
      <w:pPr>
        <w:pStyle w:val="ListParagraph"/>
        <w:numPr>
          <w:ilvl w:val="0"/>
          <w:numId w:val="15"/>
        </w:numPr>
        <w:jc w:val="both"/>
        <w:rPr>
          <w:b/>
        </w:rPr>
      </w:pPr>
      <w:r>
        <w:rPr>
          <w:b/>
        </w:rPr>
        <w:t>T</w:t>
      </w:r>
      <w:r w:rsidRPr="000B1866">
        <w:rPr>
          <w:b/>
        </w:rPr>
        <w:t>he power change is triggered by changing the Uplink RB Allocation.</w:t>
      </w:r>
    </w:p>
    <w:p w14:paraId="5C699352" w14:textId="292A5D8D" w:rsidR="000B1866" w:rsidRPr="000B1866" w:rsidRDefault="000B1866" w:rsidP="000B1866">
      <w:pPr>
        <w:pStyle w:val="ListParagraph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The modulation scheme is maintained constant throughout the duration of the test. </w:t>
      </w:r>
    </w:p>
    <w:p w14:paraId="000B0A95" w14:textId="0A62A6EE" w:rsidR="000B1866" w:rsidRDefault="000B1866" w:rsidP="000B1866">
      <w:pPr>
        <w:pStyle w:val="ListParagraph"/>
        <w:numPr>
          <w:ilvl w:val="0"/>
          <w:numId w:val="15"/>
        </w:numPr>
        <w:jc w:val="both"/>
        <w:rPr>
          <w:b/>
        </w:rPr>
      </w:pPr>
      <w:r w:rsidRPr="000B1866">
        <w:rPr>
          <w:b/>
        </w:rPr>
        <w:t>T</w:t>
      </w:r>
      <w:r w:rsidR="003F24E3" w:rsidRPr="000B1866">
        <w:rPr>
          <w:b/>
        </w:rPr>
        <w:t xml:space="preserve">he power step </w:t>
      </w:r>
      <w:r w:rsidR="00B1207E" w:rsidRPr="000B1866">
        <w:rPr>
          <w:b/>
        </w:rPr>
        <w:t>is</w:t>
      </w:r>
      <w:r w:rsidR="003F24E3" w:rsidRPr="000B1866">
        <w:rPr>
          <w:b/>
        </w:rPr>
        <w:t xml:space="preserve"> triggered by an </w:t>
      </w:r>
      <w:r w:rsidR="00D2602D" w:rsidRPr="000B1866">
        <w:rPr>
          <w:b/>
        </w:rPr>
        <w:t xml:space="preserve">UL RB </w:t>
      </w:r>
      <w:r w:rsidR="001772B2">
        <w:rPr>
          <w:b/>
        </w:rPr>
        <w:t xml:space="preserve">allocation </w:t>
      </w:r>
      <w:r w:rsidR="00D2602D" w:rsidRPr="000B1866">
        <w:rPr>
          <w:b/>
        </w:rPr>
        <w:t>ratio should</w:t>
      </w:r>
      <w:r w:rsidR="003F24E3" w:rsidRPr="000B1866">
        <w:rPr>
          <w:b/>
        </w:rPr>
        <w:t xml:space="preserve"> of</w:t>
      </w:r>
      <w:r w:rsidR="00A34B59">
        <w:rPr>
          <w:b/>
        </w:rPr>
        <w:t xml:space="preserve"> [10</w:t>
      </w:r>
      <w:r w:rsidR="00D2602D" w:rsidRPr="000B1866">
        <w:rPr>
          <w:b/>
        </w:rPr>
        <w:t>0:1] at SCS 15kHz</w:t>
      </w:r>
      <w:r w:rsidR="00A34B59">
        <w:rPr>
          <w:b/>
        </w:rPr>
        <w:t xml:space="preserve"> in 20MHz CBW</w:t>
      </w:r>
      <w:r w:rsidRPr="000B1866">
        <w:rPr>
          <w:b/>
        </w:rPr>
        <w:t>,</w:t>
      </w:r>
    </w:p>
    <w:p w14:paraId="05AABD8C" w14:textId="5338608D" w:rsidR="00A34B59" w:rsidRDefault="00A34B59" w:rsidP="000B1866">
      <w:pPr>
        <w:pStyle w:val="ListParagraph"/>
        <w:numPr>
          <w:ilvl w:val="0"/>
          <w:numId w:val="15"/>
        </w:numPr>
        <w:jc w:val="both"/>
        <w:rPr>
          <w:b/>
        </w:rPr>
      </w:pPr>
      <w:r>
        <w:rPr>
          <w:b/>
        </w:rPr>
        <w:t>Testing at other SCS is not precluded.</w:t>
      </w:r>
    </w:p>
    <w:p w14:paraId="7FFCD0DB" w14:textId="3C15F208" w:rsidR="00FA16A9" w:rsidRPr="00FA16A9" w:rsidRDefault="00FA16A9" w:rsidP="00FA16A9">
      <w:pPr>
        <w:jc w:val="both"/>
        <w:rPr>
          <w:b/>
        </w:rPr>
      </w:pPr>
      <w:r>
        <w:rPr>
          <w:b/>
        </w:rPr>
        <w:t>The core requirements remain applicable to all modulation schemes.</w:t>
      </w:r>
    </w:p>
    <w:p w14:paraId="2D0FC885" w14:textId="16C3D2FD" w:rsidR="00A926F1" w:rsidRDefault="000B0090" w:rsidP="000B0090">
      <w:pPr>
        <w:pStyle w:val="Heading2"/>
        <w:jc w:val="both"/>
      </w:pPr>
      <w:r>
        <w:t>2.3 Issue 3: Test Feasibility for All Waveform T</w:t>
      </w:r>
      <w:r w:rsidR="00A926F1">
        <w:t>ypes</w:t>
      </w:r>
    </w:p>
    <w:p w14:paraId="45C15958" w14:textId="345A6892" w:rsidR="0098666E" w:rsidRDefault="0098666E" w:rsidP="0098666E">
      <w:pPr>
        <w:pStyle w:val="Heading3"/>
      </w:pPr>
      <w:r>
        <w:t>2.3.1 Case of UE</w:t>
      </w:r>
      <w:r w:rsidR="002C6AA1">
        <w:t xml:space="preserve"> when end of </w:t>
      </w:r>
      <w:r w:rsidR="006B2A63">
        <w:t xml:space="preserve">transient </w:t>
      </w:r>
      <w:r w:rsidR="002C6AA1">
        <w:t>exceeds CP duration</w:t>
      </w:r>
    </w:p>
    <w:p w14:paraId="4286ECC6" w14:textId="4640E7B6" w:rsidR="0084630D" w:rsidRDefault="0084630D" w:rsidP="006B00E2">
      <w:pPr>
        <w:jc w:val="both"/>
      </w:pPr>
      <w:r>
        <w:t>This is the case when the UE transient capability X is X&lt;=10</w:t>
      </w:r>
      <w:r>
        <w:sym w:font="Symbol" w:char="F06D"/>
      </w:r>
      <w:r>
        <w:t>s is such that transient due to power change ends before the end of the 1</w:t>
      </w:r>
      <w:r w:rsidRPr="0084630D">
        <w:rPr>
          <w:vertAlign w:val="superscript"/>
        </w:rPr>
        <w:t>st</w:t>
      </w:r>
      <w:r>
        <w:t xml:space="preserve"> symbol CP.</w:t>
      </w:r>
    </w:p>
    <w:p w14:paraId="18494BA1" w14:textId="3D15D21B" w:rsidR="006B00E2" w:rsidRDefault="00DD4DD1" w:rsidP="006B00E2">
      <w:pPr>
        <w:jc w:val="both"/>
      </w:pPr>
      <w:r>
        <w:t>In</w:t>
      </w:r>
      <w:r w:rsidR="00AA0D85">
        <w:t xml:space="preserve"> the</w:t>
      </w:r>
      <w:r>
        <w:t xml:space="preserve"> current revision of the TS, the transient period X</w:t>
      </w:r>
      <w:r w:rsidR="00AA0D85">
        <w:t xml:space="preserve"> is equal to 1</w:t>
      </w:r>
      <w:r>
        <w:t>0</w:t>
      </w:r>
      <w:r>
        <w:sym w:font="Symbol" w:char="F06D"/>
      </w:r>
      <w:r>
        <w:t>s and the entre</w:t>
      </w:r>
      <w:r w:rsidR="000B0090">
        <w:t xml:space="preserve"> transient period of 10 </w:t>
      </w:r>
      <w:r w:rsidR="000B0090">
        <w:sym w:font="Symbol" w:char="F06D"/>
      </w:r>
      <w:r w:rsidR="000B0090">
        <w:t xml:space="preserve">s is either excluded from </w:t>
      </w:r>
      <w:r w:rsidR="00BA120F">
        <w:t>all Output Power D</w:t>
      </w:r>
      <w:r w:rsidR="000B0090">
        <w:t xml:space="preserve">ynamics core requirements (section 6.3 [2]) or the RF requirements do not apply during this transient period (eg. PUCCH/PUSCH/SRS time mask of Figure 6.3.3.7-2). </w:t>
      </w:r>
      <w:r w:rsidR="00BA120F">
        <w:t>If RAN 4 is to adopt a core</w:t>
      </w:r>
      <w:r w:rsidR="000B0090">
        <w:t xml:space="preserve"> </w:t>
      </w:r>
      <w:r w:rsidR="003467D8">
        <w:t>EVM requirement due to an RF power change transient</w:t>
      </w:r>
      <w:r w:rsidR="000B0090">
        <w:t xml:space="preserve">, the transient period should therefore </w:t>
      </w:r>
      <w:r w:rsidR="00BA120F">
        <w:t xml:space="preserve">also </w:t>
      </w:r>
      <w:r w:rsidR="000B0090">
        <w:t>be</w:t>
      </w:r>
      <w:r w:rsidR="00AA0D85">
        <w:t xml:space="preserve"> entirely</w:t>
      </w:r>
      <w:r w:rsidR="000B0090">
        <w:t xml:space="preserve"> excluded from </w:t>
      </w:r>
      <w:r w:rsidR="003467D8">
        <w:t xml:space="preserve">the average </w:t>
      </w:r>
      <w:r w:rsidR="000B0090">
        <w:t>EVM measurement.</w:t>
      </w:r>
      <w:r w:rsidR="006A74B5">
        <w:t xml:space="preserve"> </w:t>
      </w:r>
      <w:r w:rsidR="00BA120F">
        <w:t xml:space="preserve">We note however that this has been </w:t>
      </w:r>
      <w:r>
        <w:t>recently removed by [4]</w:t>
      </w:r>
      <w:r w:rsidR="000B1866">
        <w:t xml:space="preserve">. </w:t>
      </w:r>
    </w:p>
    <w:p w14:paraId="1F119385" w14:textId="7E1E9DFA" w:rsidR="006B00E2" w:rsidRDefault="006B00E2" w:rsidP="006B00E2">
      <w:pPr>
        <w:jc w:val="both"/>
      </w:pPr>
      <w:r>
        <w:lastRenderedPageBreak/>
        <w:t>W</w:t>
      </w:r>
      <w:r w:rsidR="0098666E">
        <w:t>e propose</w:t>
      </w:r>
      <w:r w:rsidR="00EB1093">
        <w:t xml:space="preserve"> </w:t>
      </w:r>
      <w:r>
        <w:t xml:space="preserve">in 4-b below </w:t>
      </w:r>
      <w:r w:rsidR="00EB1093">
        <w:t xml:space="preserve">that </w:t>
      </w:r>
      <w:r w:rsidR="00A93187">
        <w:t>“</w:t>
      </w:r>
      <w:r w:rsidR="00EB1093">
        <w:t>type 1</w:t>
      </w:r>
      <w:r w:rsidR="00A93187">
        <w:t>”</w:t>
      </w:r>
      <w:r w:rsidR="00EB1093">
        <w:t xml:space="preserve"> transients is</w:t>
      </w:r>
      <w:r w:rsidR="0098666E">
        <w:t xml:space="preserve"> the only </w:t>
      </w:r>
      <w:r w:rsidR="00EB1093">
        <w:t xml:space="preserve">type of </w:t>
      </w:r>
      <w:r w:rsidR="0098666E">
        <w:t>transient</w:t>
      </w:r>
      <w:r>
        <w:t>s</w:t>
      </w:r>
      <w:r w:rsidR="0098666E">
        <w:t xml:space="preserve"> for which the EVM due to an RF power change should be evaluated</w:t>
      </w:r>
      <w:r>
        <w:t>, with a measurement interval reduced by a time interval equal to the a</w:t>
      </w:r>
      <w:r w:rsidR="00DD4DD1">
        <w:t xml:space="preserve">pplicable exclusion period of </w:t>
      </w:r>
      <w:r w:rsidR="00AA0D85">
        <w:t>‘</w:t>
      </w:r>
      <w:r w:rsidR="00DD4DD1">
        <w:t>X</w:t>
      </w:r>
      <w:r w:rsidR="00AA0D85">
        <w:t>’</w:t>
      </w:r>
      <w:r>
        <w:sym w:font="Symbol" w:char="F06D"/>
      </w:r>
      <w:r>
        <w:t>s</w:t>
      </w:r>
      <w:r w:rsidR="0098666E">
        <w:t>.</w:t>
      </w:r>
      <w:r w:rsidR="0022666B">
        <w:t xml:space="preserve"> </w:t>
      </w:r>
      <w:r>
        <w:t>EVM measurement with exclusion period for NR should be straightforward using DFT-S-OFDM waveforms if we adopt the same requirements than those agreed for LTE, i</w:t>
      </w:r>
      <w:r w:rsidR="00DD4DD1">
        <w:t>.</w:t>
      </w:r>
      <w:r>
        <w:t>e</w:t>
      </w:r>
      <w:r w:rsidR="00DD4DD1">
        <w:t>.</w:t>
      </w:r>
      <w:r>
        <w:t>, for DFT-S-OFDM waveforms</w:t>
      </w:r>
      <w:r w:rsidR="00DD4DD1">
        <w:t>,</w:t>
      </w:r>
      <w:r>
        <w:t xml:space="preserve"> the PUSCH exclusion period is applied to the signal obtained after the front-end IDFT. This method enables testing all types of UEs, i</w:t>
      </w:r>
      <w:r w:rsidR="00DD4DD1">
        <w:t>.</w:t>
      </w:r>
      <w:r>
        <w:t>e</w:t>
      </w:r>
      <w:r w:rsidR="00DD4DD1">
        <w:t>.</w:t>
      </w:r>
      <w:r>
        <w:t xml:space="preserve"> both legacy Release 15 with transient that can be as long as 10</w:t>
      </w:r>
      <w:r>
        <w:sym w:font="Symbol" w:char="F06D"/>
      </w:r>
      <w:r w:rsidR="00DD4DD1">
        <w:t>s and Release 16 UEs where</w:t>
      </w:r>
      <w:r>
        <w:t>“X”</w:t>
      </w:r>
      <w:r w:rsidR="00DD4DD1">
        <w:t xml:space="preserve"> could be less than 10</w:t>
      </w:r>
      <w:r>
        <w:t xml:space="preserve"> </w:t>
      </w:r>
      <w:r>
        <w:sym w:font="Symbol" w:char="F06D"/>
      </w:r>
      <w:r>
        <w:t xml:space="preserve">s. </w:t>
      </w:r>
    </w:p>
    <w:p w14:paraId="0C6E5DB5" w14:textId="3F1F8E03" w:rsidR="00BA120F" w:rsidRDefault="0098666E" w:rsidP="000B0090">
      <w:r>
        <w:t xml:space="preserve">For type 2 transients, we propose </w:t>
      </w:r>
      <w:r w:rsidR="003467D8">
        <w:t xml:space="preserve">NR requirements </w:t>
      </w:r>
      <w:r>
        <w:t>to</w:t>
      </w:r>
      <w:r w:rsidR="00BA120F">
        <w:t xml:space="preserve"> inherit from legacy LTE E</w:t>
      </w:r>
      <w:r w:rsidR="003467D8">
        <w:t xml:space="preserve">VM core requirements as </w:t>
      </w:r>
      <w:r>
        <w:t xml:space="preserve">proposed in </w:t>
      </w:r>
      <w:r w:rsidR="003467D8">
        <w:t xml:space="preserve">4-c </w:t>
      </w:r>
      <w:r>
        <w:t>below.</w:t>
      </w:r>
    </w:p>
    <w:p w14:paraId="313670A8" w14:textId="3FB01497" w:rsidR="003467D8" w:rsidRDefault="003467D8" w:rsidP="002C6AA1">
      <w:pPr>
        <w:jc w:val="both"/>
      </w:pPr>
      <w:r w:rsidRPr="00862673">
        <w:rPr>
          <w:b/>
        </w:rPr>
        <w:t>Proposal</w:t>
      </w:r>
      <w:r>
        <w:rPr>
          <w:b/>
        </w:rPr>
        <w:t xml:space="preserve"> 4</w:t>
      </w:r>
      <w:r w:rsidRPr="00862673">
        <w:rPr>
          <w:b/>
        </w:rPr>
        <w:t>:</w:t>
      </w:r>
      <w:r w:rsidR="006B2A63">
        <w:rPr>
          <w:b/>
        </w:rPr>
        <w:t xml:space="preserve"> In the case of a </w:t>
      </w:r>
      <w:r w:rsidR="00EB1093">
        <w:rPr>
          <w:b/>
        </w:rPr>
        <w:t>UE which transient period capability is 10</w:t>
      </w:r>
      <w:r w:rsidR="00EB1093">
        <w:rPr>
          <w:b/>
        </w:rPr>
        <w:sym w:font="Symbol" w:char="F06D"/>
      </w:r>
      <w:r w:rsidR="00EB1093">
        <w:rPr>
          <w:b/>
        </w:rPr>
        <w:t>s:</w:t>
      </w:r>
    </w:p>
    <w:p w14:paraId="4D8941F7" w14:textId="0F92DC4F" w:rsidR="003467D8" w:rsidRPr="003467D8" w:rsidRDefault="003467D8" w:rsidP="002C6AA1">
      <w:pPr>
        <w:pStyle w:val="ListParagraph"/>
        <w:numPr>
          <w:ilvl w:val="0"/>
          <w:numId w:val="16"/>
        </w:numPr>
        <w:jc w:val="both"/>
        <w:rPr>
          <w:b/>
        </w:rPr>
      </w:pPr>
      <w:r w:rsidRPr="003467D8">
        <w:rPr>
          <w:b/>
        </w:rPr>
        <w:t xml:space="preserve">The PUSCH or PUCCH EVM measurement interval is reduced when the mean power, modulation, or </w:t>
      </w:r>
      <w:r w:rsidR="00A93187">
        <w:rPr>
          <w:b/>
        </w:rPr>
        <w:t xml:space="preserve">RB </w:t>
      </w:r>
      <w:r w:rsidRPr="003467D8">
        <w:rPr>
          <w:b/>
        </w:rPr>
        <w:t>allocation between slots or subslots is expected to change.</w:t>
      </w:r>
    </w:p>
    <w:p w14:paraId="270C27E2" w14:textId="7E5E03C5" w:rsidR="003467D8" w:rsidRPr="003467D8" w:rsidRDefault="003467D8" w:rsidP="002C6AA1">
      <w:pPr>
        <w:pStyle w:val="ListParagraph"/>
        <w:numPr>
          <w:ilvl w:val="0"/>
          <w:numId w:val="16"/>
        </w:numPr>
        <w:jc w:val="both"/>
        <w:rPr>
          <w:b/>
        </w:rPr>
      </w:pPr>
      <w:r w:rsidRPr="003467D8">
        <w:rPr>
          <w:b/>
        </w:rPr>
        <w:t>In the case</w:t>
      </w:r>
      <w:r w:rsidR="00BA120F" w:rsidRPr="003467D8">
        <w:rPr>
          <w:b/>
        </w:rPr>
        <w:t xml:space="preserve"> of PUSCH </w:t>
      </w:r>
      <w:r w:rsidR="00A93187">
        <w:rPr>
          <w:b/>
        </w:rPr>
        <w:t>to PUS</w:t>
      </w:r>
      <w:r w:rsidR="00BA120F" w:rsidRPr="003467D8">
        <w:rPr>
          <w:b/>
        </w:rPr>
        <w:t>CH transmissions</w:t>
      </w:r>
      <w:r w:rsidR="00D05C42" w:rsidRPr="003467D8">
        <w:rPr>
          <w:b/>
        </w:rPr>
        <w:t xml:space="preserve"> with power change</w:t>
      </w:r>
      <w:r w:rsidR="00BA120F" w:rsidRPr="003467D8">
        <w:rPr>
          <w:b/>
        </w:rPr>
        <w:t>, the PUSCH EVM measurement interval is reduced by a time interval equal to the applicable exclusion p</w:t>
      </w:r>
      <w:r w:rsidR="00D05C42" w:rsidRPr="003467D8">
        <w:rPr>
          <w:b/>
        </w:rPr>
        <w:t>eriod defined in subclause 6.3.3</w:t>
      </w:r>
      <w:r w:rsidR="00BA120F" w:rsidRPr="003467D8">
        <w:rPr>
          <w:b/>
        </w:rPr>
        <w:t xml:space="preserve"> adjacent to the boundary where the power change is expected to occur.  </w:t>
      </w:r>
      <w:r w:rsidR="006B00E2">
        <w:rPr>
          <w:b/>
        </w:rPr>
        <w:t>For DFT-S-OFDM waveforms, the PUSCH exclusion period is applied to the signal obtained after the front-end IDFT. For CP-OFDM waveforms, PUSCH exclusion period is not applicable, core requirement is [TBD].</w:t>
      </w:r>
    </w:p>
    <w:p w14:paraId="67890B96" w14:textId="3C321BEB" w:rsidR="006B00E2" w:rsidRPr="006B00E2" w:rsidRDefault="003467D8" w:rsidP="002C6AA1">
      <w:pPr>
        <w:pStyle w:val="ListParagraph"/>
        <w:numPr>
          <w:ilvl w:val="0"/>
          <w:numId w:val="16"/>
        </w:numPr>
        <w:jc w:val="both"/>
        <w:rPr>
          <w:b/>
        </w:rPr>
      </w:pPr>
      <w:r w:rsidRPr="003467D8">
        <w:rPr>
          <w:b/>
        </w:rPr>
        <w:t>In the case</w:t>
      </w:r>
      <w:r w:rsidR="00BA120F" w:rsidRPr="003467D8">
        <w:rPr>
          <w:b/>
        </w:rPr>
        <w:t xml:space="preserve"> when the PUSCH or PUCCH transmission slot or subslot is shortened due to multiplexing with SRS, or due to a long subslot – short subslot – long subslot transition, the EVM measurement interval is reduced by one symbol</w:t>
      </w:r>
      <w:r w:rsidR="00D05C42" w:rsidRPr="003467D8">
        <w:rPr>
          <w:b/>
        </w:rPr>
        <w:t xml:space="preserve">. </w:t>
      </w:r>
    </w:p>
    <w:p w14:paraId="4B464B11" w14:textId="728E3577" w:rsidR="000B1866" w:rsidRDefault="0098666E" w:rsidP="006A74B5">
      <w:pPr>
        <w:jc w:val="both"/>
      </w:pPr>
      <w:r>
        <w:t>However, in the case of a type 1 transient</w:t>
      </w:r>
      <w:r w:rsidR="002F5513">
        <w:t>s</w:t>
      </w:r>
      <w:r w:rsidR="00AA0D85">
        <w:t xml:space="preserve">, </w:t>
      </w:r>
      <w:r w:rsidR="00D42375">
        <w:t xml:space="preserve">excluding the transient period from </w:t>
      </w:r>
      <w:r w:rsidR="00AA0D85">
        <w:t xml:space="preserve">the </w:t>
      </w:r>
      <w:r w:rsidR="00D42375">
        <w:t>EVM measurements</w:t>
      </w:r>
      <w:r>
        <w:t xml:space="preserve"> can only be </w:t>
      </w:r>
      <w:r w:rsidR="00FF1DC5">
        <w:t>achieved with</w:t>
      </w:r>
      <w:r>
        <w:t xml:space="preserve"> CP-OFDM waveforms when</w:t>
      </w:r>
      <w:r w:rsidR="00D42375">
        <w:t xml:space="preserve"> UE </w:t>
      </w:r>
      <w:r>
        <w:t>tr</w:t>
      </w:r>
      <w:r w:rsidR="002F5513">
        <w:t xml:space="preserve">ansient </w:t>
      </w:r>
      <w:r w:rsidR="00D42375">
        <w:t>period</w:t>
      </w:r>
      <w:r w:rsidR="00FF1DC5">
        <w:t xml:space="preserve"> ends before the end of the </w:t>
      </w:r>
      <w:r w:rsidR="002F5513">
        <w:t>first symbol cyclic prefix (CP)</w:t>
      </w:r>
      <w:r>
        <w:t xml:space="preserve">, otherwise it is not possible to exclude transient period from </w:t>
      </w:r>
      <w:r w:rsidR="00FF1DC5">
        <w:t xml:space="preserve">CP-OFDM FFT </w:t>
      </w:r>
      <w:r>
        <w:t xml:space="preserve">EVM measurements. </w:t>
      </w:r>
      <w:r w:rsidR="008835F1">
        <w:t>We make the following initial proposal to handle the case of</w:t>
      </w:r>
      <w:r w:rsidR="00EB1093">
        <w:t xml:space="preserve"> EVM measurements with power change </w:t>
      </w:r>
      <w:r w:rsidR="008835F1">
        <w:t>using</w:t>
      </w:r>
      <w:r w:rsidR="00EB1093">
        <w:t xml:space="preserve"> CP-OFDM waveforms </w:t>
      </w:r>
      <w:r w:rsidR="00FF1DC5">
        <w:t>when the transient due to power change exceeds the 1</w:t>
      </w:r>
      <w:r w:rsidR="00FF1DC5" w:rsidRPr="00FF1DC5">
        <w:rPr>
          <w:vertAlign w:val="superscript"/>
        </w:rPr>
        <w:t>st</w:t>
      </w:r>
      <w:r w:rsidR="00FF1DC5">
        <w:t xml:space="preserve"> symbol CP duration:</w:t>
      </w:r>
    </w:p>
    <w:p w14:paraId="21AEDD63" w14:textId="1183B8FB" w:rsidR="00396235" w:rsidRPr="001C0975" w:rsidRDefault="001C0975" w:rsidP="0084630D">
      <w:pPr>
        <w:rPr>
          <w:b/>
        </w:rPr>
      </w:pPr>
      <w:r w:rsidRPr="00862673">
        <w:rPr>
          <w:b/>
        </w:rPr>
        <w:t>Proposal</w:t>
      </w:r>
      <w:r>
        <w:rPr>
          <w:b/>
        </w:rPr>
        <w:t xml:space="preserve"> 5</w:t>
      </w:r>
      <w:r w:rsidRPr="00862673">
        <w:rPr>
          <w:b/>
        </w:rPr>
        <w:t>:</w:t>
      </w:r>
      <w:r>
        <w:rPr>
          <w:b/>
        </w:rPr>
        <w:t xml:space="preserve"> </w:t>
      </w:r>
    </w:p>
    <w:p w14:paraId="46072E6D" w14:textId="7C28751B" w:rsidR="000B1F87" w:rsidRDefault="002F5513" w:rsidP="008835F1">
      <w:pPr>
        <w:pStyle w:val="ListParagraph"/>
        <w:ind w:left="0"/>
        <w:jc w:val="both"/>
      </w:pPr>
      <w:r w:rsidRPr="001C0975">
        <w:rPr>
          <w:b/>
        </w:rPr>
        <w:t>For</w:t>
      </w:r>
      <w:r w:rsidR="008835F1">
        <w:rPr>
          <w:b/>
        </w:rPr>
        <w:t xml:space="preserve"> the case when the</w:t>
      </w:r>
      <w:r w:rsidRPr="001C0975">
        <w:rPr>
          <w:b/>
        </w:rPr>
        <w:t xml:space="preserve"> </w:t>
      </w:r>
      <w:r w:rsidR="00FF1DC5">
        <w:rPr>
          <w:b/>
        </w:rPr>
        <w:t xml:space="preserve">UE </w:t>
      </w:r>
      <w:r w:rsidRPr="001C0975">
        <w:rPr>
          <w:b/>
        </w:rPr>
        <w:t>transient period exceeds the CP duration</w:t>
      </w:r>
      <w:r w:rsidR="008835F1">
        <w:rPr>
          <w:b/>
        </w:rPr>
        <w:t xml:space="preserve"> </w:t>
      </w:r>
      <w:r w:rsidR="008835F1" w:rsidRPr="001C0975">
        <w:rPr>
          <w:b/>
        </w:rPr>
        <w:t>of the 1</w:t>
      </w:r>
      <w:r w:rsidR="008835F1" w:rsidRPr="001C0975">
        <w:rPr>
          <w:b/>
          <w:vertAlign w:val="superscript"/>
        </w:rPr>
        <w:t>st</w:t>
      </w:r>
      <w:r w:rsidR="008835F1" w:rsidRPr="001C0975">
        <w:rPr>
          <w:b/>
        </w:rPr>
        <w:t xml:space="preserve"> symbol adjacent to the boundary where the power change is expected to occur</w:t>
      </w:r>
      <w:r w:rsidRPr="001C0975">
        <w:rPr>
          <w:b/>
        </w:rPr>
        <w:t xml:space="preserve">, </w:t>
      </w:r>
      <w:r w:rsidR="008835F1">
        <w:rPr>
          <w:b/>
        </w:rPr>
        <w:t>c</w:t>
      </w:r>
      <w:r w:rsidR="008835F1" w:rsidRPr="008835F1">
        <w:rPr>
          <w:b/>
        </w:rPr>
        <w:t xml:space="preserve">hange EVM calculation method </w:t>
      </w:r>
      <w:r w:rsidR="00FF1DC5">
        <w:rPr>
          <w:b/>
        </w:rPr>
        <w:t xml:space="preserve">for CP-OFDM waveforms </w:t>
      </w:r>
      <w:r w:rsidR="008835F1" w:rsidRPr="008835F1">
        <w:rPr>
          <w:b/>
        </w:rPr>
        <w:t>to use only 1 measurement FFT with start position [TBD]</w:t>
      </w:r>
      <w:r w:rsidR="00595235" w:rsidRPr="008835F1">
        <w:rPr>
          <w:b/>
        </w:rPr>
        <w:t xml:space="preserve"> and define an EVM relaxation [TBD] to </w:t>
      </w:r>
      <w:r w:rsidR="000B1F87" w:rsidRPr="008835F1">
        <w:rPr>
          <w:b/>
        </w:rPr>
        <w:t xml:space="preserve">account for FFT samples that </w:t>
      </w:r>
      <w:r w:rsidR="00581D92" w:rsidRPr="008835F1">
        <w:rPr>
          <w:b/>
        </w:rPr>
        <w:t>cannot</w:t>
      </w:r>
      <w:r w:rsidR="000B1F87" w:rsidRPr="008835F1">
        <w:rPr>
          <w:b/>
        </w:rPr>
        <w:t xml:space="preserve"> be excluded from</w:t>
      </w:r>
      <w:r w:rsidR="008835F1">
        <w:rPr>
          <w:b/>
        </w:rPr>
        <w:t xml:space="preserve"> the</w:t>
      </w:r>
      <w:r w:rsidR="000B1F87" w:rsidRPr="008835F1">
        <w:rPr>
          <w:b/>
        </w:rPr>
        <w:t xml:space="preserve"> EVM result</w:t>
      </w:r>
      <w:r w:rsidR="008835F1">
        <w:rPr>
          <w:b/>
        </w:rPr>
        <w:t>s.</w:t>
      </w:r>
    </w:p>
    <w:p w14:paraId="2CE86207" w14:textId="221D0068" w:rsidR="006B2A63" w:rsidRDefault="006B2A63" w:rsidP="00396235">
      <w:pPr>
        <w:pStyle w:val="Heading3"/>
      </w:pPr>
      <w:r>
        <w:t xml:space="preserve">2.3.2 </w:t>
      </w:r>
      <w:r w:rsidR="00792ECB">
        <w:t>Case of UE when end of transient does not exceed CP duration</w:t>
      </w:r>
    </w:p>
    <w:p w14:paraId="443AB692" w14:textId="43A2F05A" w:rsidR="004E3B0F" w:rsidRDefault="0084630D" w:rsidP="006B2A63">
      <w:pPr>
        <w:jc w:val="both"/>
      </w:pPr>
      <w:r>
        <w:t xml:space="preserve">This is the case when the </w:t>
      </w:r>
      <w:r w:rsidR="004E3B0F">
        <w:t xml:space="preserve">UE transient capability X is </w:t>
      </w:r>
      <w:r w:rsidR="006B2A63">
        <w:t>X&lt;</w:t>
      </w:r>
      <w:r>
        <w:t>=</w:t>
      </w:r>
      <w:r w:rsidR="006B2A63">
        <w:t>10</w:t>
      </w:r>
      <w:r w:rsidR="006B2A63">
        <w:sym w:font="Symbol" w:char="F06D"/>
      </w:r>
      <w:r w:rsidR="006B2A63">
        <w:t>s</w:t>
      </w:r>
      <w:r>
        <w:t xml:space="preserve"> is such that transient due to power change ends before the end of the 1</w:t>
      </w:r>
      <w:r w:rsidRPr="0084630D">
        <w:rPr>
          <w:vertAlign w:val="superscript"/>
        </w:rPr>
        <w:t>st</w:t>
      </w:r>
      <w:r>
        <w:t xml:space="preserve"> symbol CP</w:t>
      </w:r>
      <w:r w:rsidR="004E3B0F">
        <w:t>.</w:t>
      </w:r>
      <w:r w:rsidR="00FA15B3">
        <w:t xml:space="preserve"> Since X/2 is less than CP duration, a single test method can be</w:t>
      </w:r>
      <w:r>
        <w:t xml:space="preserve"> adopted that is compatible for</w:t>
      </w:r>
      <w:r w:rsidR="00FA15B3">
        <w:t xml:space="preserve"> both CP-OFDM and DFT</w:t>
      </w:r>
      <w:r>
        <w:t>-S-OFDM. We propose:</w:t>
      </w:r>
    </w:p>
    <w:p w14:paraId="1D24190B" w14:textId="10F4C9D2" w:rsidR="00FA15B3" w:rsidRDefault="00FA15B3" w:rsidP="00FA15B3">
      <w:pPr>
        <w:rPr>
          <w:b/>
        </w:rPr>
      </w:pPr>
      <w:r w:rsidRPr="00862673">
        <w:rPr>
          <w:b/>
        </w:rPr>
        <w:t>Proposal</w:t>
      </w:r>
      <w:r>
        <w:rPr>
          <w:b/>
        </w:rPr>
        <w:t xml:space="preserve"> </w:t>
      </w:r>
      <w:r w:rsidR="004F1492">
        <w:rPr>
          <w:b/>
        </w:rPr>
        <w:t>6</w:t>
      </w:r>
      <w:r w:rsidRPr="00862673">
        <w:rPr>
          <w:b/>
        </w:rPr>
        <w:t>:</w:t>
      </w:r>
      <w:r>
        <w:rPr>
          <w:b/>
        </w:rPr>
        <w:t xml:space="preserve"> In the case of a UE which transient period capability is “X”</w:t>
      </w:r>
      <w:r>
        <w:rPr>
          <w:b/>
        </w:rPr>
        <w:sym w:font="Symbol" w:char="F06D"/>
      </w:r>
      <w:r>
        <w:rPr>
          <w:b/>
        </w:rPr>
        <w:t>s, where X&lt;10</w:t>
      </w:r>
      <w:r w:rsidRPr="00FA15B3">
        <w:rPr>
          <w:b/>
        </w:rPr>
        <w:sym w:font="Symbol" w:char="F06D"/>
      </w:r>
      <w:r w:rsidRPr="00FA15B3">
        <w:rPr>
          <w:b/>
        </w:rPr>
        <w:t>s</w:t>
      </w:r>
    </w:p>
    <w:p w14:paraId="334BE791" w14:textId="77777777" w:rsidR="00FA15B3" w:rsidRPr="003467D8" w:rsidRDefault="00FA15B3" w:rsidP="00FA15B3">
      <w:pPr>
        <w:pStyle w:val="ListParagraph"/>
        <w:numPr>
          <w:ilvl w:val="0"/>
          <w:numId w:val="18"/>
        </w:numPr>
        <w:rPr>
          <w:b/>
        </w:rPr>
      </w:pPr>
      <w:r w:rsidRPr="003467D8">
        <w:rPr>
          <w:b/>
        </w:rPr>
        <w:t>The PUSCH or PUCCH EVM measurement interval is reduced when the mean power, modulation, or allocation between slots or subslots is expected to change.</w:t>
      </w:r>
    </w:p>
    <w:p w14:paraId="35231925" w14:textId="77777777" w:rsidR="00FA15B3" w:rsidRDefault="00FA15B3" w:rsidP="00FA15B3">
      <w:pPr>
        <w:pStyle w:val="ListParagraph"/>
        <w:numPr>
          <w:ilvl w:val="0"/>
          <w:numId w:val="18"/>
        </w:numPr>
        <w:rPr>
          <w:b/>
        </w:rPr>
      </w:pPr>
      <w:r w:rsidRPr="003467D8">
        <w:rPr>
          <w:b/>
        </w:rPr>
        <w:t xml:space="preserve">In the case of PUSCH to PUCCH transmissions with power change, the PUSCH EVM measurement interval is reduced by a time </w:t>
      </w:r>
      <w:r>
        <w:rPr>
          <w:b/>
        </w:rPr>
        <w:t>interval equal to an</w:t>
      </w:r>
      <w:r w:rsidRPr="003467D8">
        <w:rPr>
          <w:b/>
        </w:rPr>
        <w:t xml:space="preserve"> exclusion period</w:t>
      </w:r>
      <w:r>
        <w:rPr>
          <w:b/>
        </w:rPr>
        <w:t xml:space="preserve"> of “X”</w:t>
      </w:r>
      <w:r>
        <w:rPr>
          <w:b/>
        </w:rPr>
        <w:sym w:font="Symbol" w:char="F06D"/>
      </w:r>
      <w:r>
        <w:rPr>
          <w:b/>
        </w:rPr>
        <w:t>s, where X&lt;10</w:t>
      </w:r>
      <w:r w:rsidRPr="00FA15B3">
        <w:rPr>
          <w:b/>
        </w:rPr>
        <w:sym w:font="Symbol" w:char="F06D"/>
      </w:r>
      <w:r w:rsidRPr="00FA15B3">
        <w:rPr>
          <w:b/>
        </w:rPr>
        <w:t>s</w:t>
      </w:r>
      <w:r w:rsidRPr="003467D8">
        <w:rPr>
          <w:b/>
        </w:rPr>
        <w:t xml:space="preserve"> adjacent to the boundary where the power change is expected to occur.  </w:t>
      </w:r>
    </w:p>
    <w:p w14:paraId="01FF8344" w14:textId="5B49E2EF" w:rsidR="00FA15B3" w:rsidRDefault="00FA15B3" w:rsidP="00736058">
      <w:pPr>
        <w:pStyle w:val="ListParagraph"/>
        <w:numPr>
          <w:ilvl w:val="0"/>
          <w:numId w:val="18"/>
        </w:numPr>
        <w:rPr>
          <w:b/>
        </w:rPr>
      </w:pPr>
      <w:r w:rsidRPr="00FA15B3">
        <w:rPr>
          <w:b/>
        </w:rPr>
        <w:t xml:space="preserve">In the case X/2 is less than the duration of the </w:t>
      </w:r>
      <w:r w:rsidR="0084630D">
        <w:rPr>
          <w:b/>
        </w:rPr>
        <w:t>1</w:t>
      </w:r>
      <w:r w:rsidR="0084630D" w:rsidRPr="0084630D">
        <w:rPr>
          <w:b/>
          <w:vertAlign w:val="superscript"/>
        </w:rPr>
        <w:t>st</w:t>
      </w:r>
      <w:r w:rsidR="0084630D">
        <w:rPr>
          <w:b/>
        </w:rPr>
        <w:t xml:space="preserve"> OFDM symbol </w:t>
      </w:r>
      <w:r w:rsidRPr="00FA15B3">
        <w:rPr>
          <w:b/>
        </w:rPr>
        <w:t xml:space="preserve">cyclic prefix, </w:t>
      </w:r>
      <w:r>
        <w:rPr>
          <w:b/>
        </w:rPr>
        <w:t xml:space="preserve">EVM is calculated using </w:t>
      </w:r>
      <w:r w:rsidRPr="00FA15B3">
        <w:rPr>
          <w:b/>
          <w:position w:val="-10"/>
        </w:rPr>
        <w:object w:dxaOrig="2760" w:dyaOrig="380" w14:anchorId="45D89F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75pt;height:18.75pt" o:ole="">
            <v:imagedata r:id="rId9" o:title=""/>
          </v:shape>
          <o:OLEObject Type="Embed" ProgID="Equation.3" ShapeID="_x0000_i1025" DrawAspect="Content" ObjectID="_1631711123" r:id="rId10"/>
        </w:object>
      </w:r>
      <w:r w:rsidRPr="00FA15B3">
        <w:rPr>
          <w:b/>
        </w:rPr>
        <w:t>, where EVM</w:t>
      </w:r>
      <w:r w:rsidRPr="00FA15B3">
        <w:rPr>
          <w:b/>
          <w:vertAlign w:val="subscript"/>
        </w:rPr>
        <w:t>l</w:t>
      </w:r>
      <w:r w:rsidRPr="00FA15B3">
        <w:rPr>
          <w:b/>
        </w:rPr>
        <w:t xml:space="preserve"> and EVM</w:t>
      </w:r>
      <w:r w:rsidRPr="00FA15B3">
        <w:rPr>
          <w:b/>
          <w:vertAlign w:val="subscript"/>
        </w:rPr>
        <w:t>h</w:t>
      </w:r>
      <w:r w:rsidRPr="00FA15B3">
        <w:rPr>
          <w:b/>
        </w:rPr>
        <w:t xml:space="preserve"> are defined in Annex F.</w:t>
      </w:r>
    </w:p>
    <w:p w14:paraId="49FF7659" w14:textId="63178DCD" w:rsidR="006B2A63" w:rsidRPr="001C0975" w:rsidRDefault="00FA15B3" w:rsidP="00D06960">
      <w:pPr>
        <w:pStyle w:val="ListParagraph"/>
        <w:numPr>
          <w:ilvl w:val="0"/>
          <w:numId w:val="18"/>
        </w:numPr>
        <w:jc w:val="both"/>
      </w:pPr>
      <w:r w:rsidRPr="00207DF2">
        <w:rPr>
          <w:b/>
        </w:rPr>
        <w:t xml:space="preserve">In the case when the PUSCH or PUCCH transmission slot or subslot is shortened due to multiplexing with SRS, or due to a long subslot – short subslot – long subslot transition, the EVM measurement interval is reduced by one symbol. </w:t>
      </w:r>
    </w:p>
    <w:p w14:paraId="07DF8E3B" w14:textId="4F4495C9" w:rsidR="00A926F1" w:rsidRDefault="00A926F1" w:rsidP="000B0090">
      <w:pPr>
        <w:pStyle w:val="Heading2"/>
        <w:jc w:val="both"/>
      </w:pPr>
      <w:r>
        <w:t>2.3 Issue 4: O</w:t>
      </w:r>
      <w:r w:rsidR="00207DF2">
        <w:t>ther Test P</w:t>
      </w:r>
      <w:r w:rsidR="004F1492">
        <w:t xml:space="preserve">arameters </w:t>
      </w:r>
    </w:p>
    <w:p w14:paraId="78955801" w14:textId="166A5DEA" w:rsidR="00DC782E" w:rsidRDefault="00DC782E" w:rsidP="00DC782E">
      <w:r>
        <w:t>We agree with the following proposals from [5] and propose;</w:t>
      </w:r>
    </w:p>
    <w:p w14:paraId="1831C358" w14:textId="77777777" w:rsidR="00DC782E" w:rsidRDefault="00DC782E" w:rsidP="00DC782E">
      <w:pPr>
        <w:rPr>
          <w:b/>
        </w:rPr>
      </w:pPr>
      <w:r w:rsidRPr="00862673">
        <w:rPr>
          <w:b/>
        </w:rPr>
        <w:t>Proposal</w:t>
      </w:r>
      <w:r>
        <w:rPr>
          <w:b/>
        </w:rPr>
        <w:t xml:space="preserve"> 7:</w:t>
      </w:r>
      <w:r>
        <w:rPr>
          <w:b/>
        </w:rPr>
        <w:tab/>
      </w:r>
    </w:p>
    <w:p w14:paraId="25959066" w14:textId="2D113615" w:rsidR="00DC782E" w:rsidRPr="001772B2" w:rsidRDefault="00DC782E" w:rsidP="00DC782E">
      <w:pPr>
        <w:pStyle w:val="ListParagraph"/>
        <w:numPr>
          <w:ilvl w:val="0"/>
          <w:numId w:val="19"/>
        </w:numPr>
        <w:rPr>
          <w:b/>
        </w:rPr>
      </w:pPr>
      <w:r w:rsidRPr="001772B2">
        <w:rPr>
          <w:b/>
          <w:lang w:val="en-US"/>
        </w:rPr>
        <w:t>An average duration of 10 subframes should be used for testing transient period capability as well just like current EVM spec for NR and LTE (proposal 3 [5]),</w:t>
      </w:r>
    </w:p>
    <w:p w14:paraId="023C085F" w14:textId="7B37B482" w:rsidR="004A0E80" w:rsidRPr="001772B2" w:rsidRDefault="00DC782E" w:rsidP="00DC782E">
      <w:pPr>
        <w:pStyle w:val="ListParagraph"/>
        <w:numPr>
          <w:ilvl w:val="0"/>
          <w:numId w:val="19"/>
        </w:numPr>
        <w:rPr>
          <w:b/>
        </w:rPr>
      </w:pPr>
      <w:r w:rsidRPr="001772B2">
        <w:rPr>
          <w:b/>
          <w:lang w:val="en-US"/>
        </w:rPr>
        <w:t>A periodic power step test pattern be chosen and implemented, with a reasonable power step, to make this test capture a reasonable number of power changes in one set of 10 subframe average (proposal 4 [5])</w:t>
      </w:r>
      <w:r w:rsidR="004A0E80" w:rsidRPr="001772B2">
        <w:rPr>
          <w:b/>
          <w:lang w:val="en-US"/>
        </w:rPr>
        <w:t xml:space="preserve">. </w:t>
      </w:r>
    </w:p>
    <w:p w14:paraId="713CBC9A" w14:textId="48278484" w:rsidR="00DC782E" w:rsidRPr="001772B2" w:rsidRDefault="004A0E80" w:rsidP="00DC782E">
      <w:pPr>
        <w:pStyle w:val="ListParagraph"/>
        <w:numPr>
          <w:ilvl w:val="0"/>
          <w:numId w:val="19"/>
        </w:numPr>
        <w:rPr>
          <w:b/>
        </w:rPr>
      </w:pPr>
      <w:r w:rsidRPr="001772B2">
        <w:rPr>
          <w:b/>
          <w:lang w:val="en-US"/>
        </w:rPr>
        <w:lastRenderedPageBreak/>
        <w:t>For FDD, the test pattern duty cycle should be set to 50 %, i.e. 1 transmit time interval (TTI) at low transmit power followed by 1 TTI at high transmit power, with TTI is a 14 symbol long PUSCH slot.</w:t>
      </w:r>
    </w:p>
    <w:p w14:paraId="1667554B" w14:textId="63E5596D" w:rsidR="004A0E80" w:rsidRPr="001772B2" w:rsidRDefault="004A0E80" w:rsidP="00DC782E">
      <w:pPr>
        <w:pStyle w:val="ListParagraph"/>
        <w:numPr>
          <w:ilvl w:val="0"/>
          <w:numId w:val="19"/>
        </w:numPr>
        <w:rPr>
          <w:b/>
        </w:rPr>
      </w:pPr>
      <w:r w:rsidRPr="001772B2">
        <w:rPr>
          <w:b/>
          <w:lang w:val="en-US"/>
        </w:rPr>
        <w:t>For TDD, the test pattern should also be designed so that during the UL slots, a 50% test pattern duty cycle is met, i.e. the frame structure shoul</w:t>
      </w:r>
      <w:r w:rsidR="001772B2" w:rsidRPr="001772B2">
        <w:rPr>
          <w:b/>
          <w:lang w:val="en-US"/>
        </w:rPr>
        <w:t>d be selected so that at least 1 cycle</w:t>
      </w:r>
      <w:r w:rsidRPr="001772B2">
        <w:rPr>
          <w:b/>
          <w:lang w:val="en-US"/>
        </w:rPr>
        <w:t xml:space="preserve"> of 1 TTI at low power followed by 1 TTI at high power is tested.</w:t>
      </w:r>
    </w:p>
    <w:p w14:paraId="2D543B7E" w14:textId="1147F0D9" w:rsidR="00441E89" w:rsidRDefault="00441E89" w:rsidP="00DC782E">
      <w:r>
        <w:t>For FDD test pattern we agree with figure provided in [5].</w:t>
      </w:r>
    </w:p>
    <w:p w14:paraId="186A2950" w14:textId="33B329E8" w:rsidR="00441E89" w:rsidRDefault="00DD4DD1" w:rsidP="00DC782E">
      <w:r>
        <w:t>For TDD test pattern, Figure 2</w:t>
      </w:r>
      <w:r w:rsidR="00441E89">
        <w:t xml:space="preserve"> below shows one possible frame structure based on proposals 3 and 7.</w:t>
      </w:r>
    </w:p>
    <w:p w14:paraId="0FEF6FBB" w14:textId="1C33A44E" w:rsidR="00441E89" w:rsidRPr="00DC782E" w:rsidRDefault="0084630D" w:rsidP="00DC782E">
      <w:r w:rsidRPr="0084630D">
        <w:rPr>
          <w:noProof/>
          <w:lang w:val="en-US"/>
        </w:rPr>
        <w:drawing>
          <wp:inline distT="0" distB="0" distL="0" distR="0" wp14:anchorId="043301EE" wp14:editId="7076E252">
            <wp:extent cx="6301105" cy="1141730"/>
            <wp:effectExtent l="0" t="0" r="444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114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1E89">
        <w:t xml:space="preserve"> </w:t>
      </w:r>
    </w:p>
    <w:p w14:paraId="7BC1CFB5" w14:textId="69A138B5" w:rsidR="00441E89" w:rsidRPr="00441E89" w:rsidRDefault="00441E89" w:rsidP="00441E89">
      <w:pPr>
        <w:rPr>
          <w:b/>
        </w:rPr>
      </w:pPr>
      <w:r w:rsidRPr="00441E89">
        <w:rPr>
          <w:b/>
        </w:rPr>
        <w:t xml:space="preserve">Figure </w:t>
      </w:r>
      <w:r w:rsidR="00DD4DD1">
        <w:rPr>
          <w:b/>
        </w:rPr>
        <w:t>2</w:t>
      </w:r>
      <w:r w:rsidRPr="00441E89">
        <w:rPr>
          <w:b/>
        </w:rPr>
        <w:t>: Possible TDD frame structure to test EVM due to an RF power change transient at SCS 15</w:t>
      </w:r>
      <w:r w:rsidR="00581D92">
        <w:rPr>
          <w:b/>
        </w:rPr>
        <w:t xml:space="preserve"> </w:t>
      </w:r>
      <w:r w:rsidRPr="00441E89">
        <w:rPr>
          <w:b/>
        </w:rPr>
        <w:t>kHz, 14 symbols / slot, and a 270:1 RB allocation change at slot</w:t>
      </w:r>
      <w:r>
        <w:rPr>
          <w:b/>
        </w:rPr>
        <w:t xml:space="preserve"> 3/4 </w:t>
      </w:r>
      <w:r w:rsidRPr="00441E89">
        <w:rPr>
          <w:b/>
        </w:rPr>
        <w:t>and slot 8/9 boundaries.</w:t>
      </w:r>
    </w:p>
    <w:p w14:paraId="35742506" w14:textId="77777777" w:rsidR="00756FF7" w:rsidRDefault="00756FF7" w:rsidP="000B0090">
      <w:pPr>
        <w:pStyle w:val="Heading1"/>
        <w:jc w:val="both"/>
      </w:pPr>
      <w:r>
        <w:t>3</w:t>
      </w:r>
      <w:r>
        <w:tab/>
        <w:t>Conclusion</w:t>
      </w:r>
    </w:p>
    <w:p w14:paraId="4845BA62" w14:textId="77777777" w:rsidR="001772B2" w:rsidRDefault="00756FF7" w:rsidP="000B0090">
      <w:pPr>
        <w:jc w:val="both"/>
      </w:pPr>
      <w:r>
        <w:t xml:space="preserve">This contribution </w:t>
      </w:r>
      <w:r w:rsidR="001772B2">
        <w:t>reviews each of the issues identified in WF [1] and makes several proposal on how to make sure EVM due to RF power change transients can be specified and measured for UEs with 10</w:t>
      </w:r>
      <w:r w:rsidR="001772B2">
        <w:sym w:font="Symbol" w:char="F06D"/>
      </w:r>
      <w:r w:rsidR="001772B2">
        <w:t>s transient capabilities, and for Release 16 UEs with “X” transient capability, where X&lt;10</w:t>
      </w:r>
      <w:r w:rsidR="001772B2">
        <w:sym w:font="Symbol" w:char="F06D"/>
      </w:r>
      <w:r w:rsidR="001772B2">
        <w:t>s.</w:t>
      </w:r>
    </w:p>
    <w:p w14:paraId="3DAEAA30" w14:textId="7EE3BA62" w:rsidR="001772B2" w:rsidRDefault="001772B2" w:rsidP="001772B2">
      <w:pPr>
        <w:pStyle w:val="ListParagraph"/>
        <w:numPr>
          <w:ilvl w:val="0"/>
          <w:numId w:val="20"/>
        </w:numPr>
        <w:jc w:val="both"/>
      </w:pPr>
      <w:r>
        <w:t>Proposals 1 and 2</w:t>
      </w:r>
      <w:r w:rsidR="00A93187">
        <w:t xml:space="preserve"> formulate how can</w:t>
      </w:r>
      <w:r>
        <w:t xml:space="preserve"> transient periods be defined for UEs with “X”</w:t>
      </w:r>
      <w:r w:rsidRPr="001772B2">
        <w:t xml:space="preserve"> </w:t>
      </w:r>
      <w:r>
        <w:t>&lt;10</w:t>
      </w:r>
      <w:r>
        <w:sym w:font="Symbol" w:char="F06D"/>
      </w:r>
      <w:r>
        <w:t xml:space="preserve">s transient capability. </w:t>
      </w:r>
    </w:p>
    <w:p w14:paraId="43BD25DB" w14:textId="346F6668" w:rsidR="00756FF7" w:rsidRDefault="001772B2" w:rsidP="001772B2">
      <w:pPr>
        <w:pStyle w:val="ListParagraph"/>
        <w:numPr>
          <w:ilvl w:val="0"/>
          <w:numId w:val="20"/>
        </w:numPr>
        <w:jc w:val="both"/>
      </w:pPr>
      <w:r>
        <w:t>Proposal 3 defines that UE power change is triggered by an RB allocation change, and suggest 15</w:t>
      </w:r>
      <w:r w:rsidR="00581D92">
        <w:t xml:space="preserve"> </w:t>
      </w:r>
      <w:r>
        <w:t>kHz SCS with a 270:1 RB allocation change,</w:t>
      </w:r>
    </w:p>
    <w:p w14:paraId="490897C9" w14:textId="0C17BE17" w:rsidR="00736058" w:rsidRPr="00A93187" w:rsidRDefault="00A93187" w:rsidP="00D42375">
      <w:pPr>
        <w:pStyle w:val="ListParagraph"/>
        <w:numPr>
          <w:ilvl w:val="0"/>
          <w:numId w:val="20"/>
        </w:numPr>
      </w:pPr>
      <w:r>
        <w:t xml:space="preserve">In </w:t>
      </w:r>
      <w:r w:rsidR="001772B2">
        <w:t>Proposal 4</w:t>
      </w:r>
      <w:r>
        <w:t>,</w:t>
      </w:r>
      <w:r w:rsidR="00736058">
        <w:t xml:space="preserve"> </w:t>
      </w:r>
      <w:r w:rsidR="00581D92">
        <w:t>t</w:t>
      </w:r>
      <w:r w:rsidR="00736058">
        <w:t>he EVM measurement for power change</w:t>
      </w:r>
      <w:r w:rsidR="00D42375">
        <w:t xml:space="preserve"> for a baseline UE with 10</w:t>
      </w:r>
      <w:r w:rsidR="00D42375">
        <w:sym w:font="Symbol" w:char="F06D"/>
      </w:r>
      <w:r w:rsidR="00D42375">
        <w:t>s transient period</w:t>
      </w:r>
      <w:r w:rsidR="00736058">
        <w:t xml:space="preserve"> is to be tested only for PUSCH to PUSCH “On to ON” transitions where the measurement interval is reduced by</w:t>
      </w:r>
      <w:r w:rsidR="00D42375">
        <w:t xml:space="preserve"> a</w:t>
      </w:r>
      <w:r w:rsidR="00736058">
        <w:t xml:space="preserve"> </w:t>
      </w:r>
      <w:r w:rsidR="00D42375" w:rsidRPr="00D42375">
        <w:t>time interval equal to the applicable exclusion period</w:t>
      </w:r>
      <w:r w:rsidR="00D42375">
        <w:t>. DFT-S-OFDM waveforms are to be used to perform EVM with exclusion period. Test methodology for CP-OFDM is discussed in proposal 5.</w:t>
      </w:r>
    </w:p>
    <w:p w14:paraId="1CF534B5" w14:textId="7A24A280" w:rsidR="00A93187" w:rsidRDefault="00D42375" w:rsidP="00A93187">
      <w:pPr>
        <w:pStyle w:val="ListParagraph"/>
        <w:numPr>
          <w:ilvl w:val="0"/>
          <w:numId w:val="20"/>
        </w:numPr>
      </w:pPr>
      <w:r>
        <w:t>In proposal 5, options are presented to account for testability challenges associated with CP-OFDM waveforms for UE with 10</w:t>
      </w:r>
      <w:r>
        <w:sym w:font="Symbol" w:char="F06D"/>
      </w:r>
      <w:r>
        <w:t>s transient capability,</w:t>
      </w:r>
    </w:p>
    <w:p w14:paraId="6B0F5AA3" w14:textId="0C90FCC2" w:rsidR="00D42375" w:rsidRPr="00A93187" w:rsidRDefault="00D42375" w:rsidP="00A93187">
      <w:pPr>
        <w:pStyle w:val="ListParagraph"/>
        <w:numPr>
          <w:ilvl w:val="0"/>
          <w:numId w:val="20"/>
        </w:numPr>
      </w:pPr>
      <w:r>
        <w:t>In proposal 6, requirements and waveform agnostic test methodologies are presented for the case of a UE with X&lt;10</w:t>
      </w:r>
      <w:r>
        <w:sym w:font="Symbol" w:char="F06D"/>
      </w:r>
      <w:r>
        <w:t>s transient capability,</w:t>
      </w:r>
    </w:p>
    <w:p w14:paraId="1A6A3149" w14:textId="1E13E36E" w:rsidR="001772B2" w:rsidRDefault="00D42375" w:rsidP="001772B2">
      <w:pPr>
        <w:pStyle w:val="ListParagraph"/>
        <w:numPr>
          <w:ilvl w:val="0"/>
          <w:numId w:val="20"/>
        </w:numPr>
        <w:jc w:val="both"/>
      </w:pPr>
      <w:r>
        <w:t>In proposal 7, all other remaining test parameters are presented such as 14 symbol / slot PUSCH TTI, 50% test pattern duty cycle, EVM averaging period, and frame structure for TDD.</w:t>
      </w:r>
    </w:p>
    <w:p w14:paraId="2EDF6A7D" w14:textId="77777777" w:rsidR="00756FF7" w:rsidRDefault="00756FF7" w:rsidP="000B0090">
      <w:pPr>
        <w:pStyle w:val="Heading1"/>
        <w:ind w:left="0" w:firstLine="0"/>
        <w:jc w:val="both"/>
      </w:pPr>
      <w:r>
        <w:t>References</w:t>
      </w:r>
    </w:p>
    <w:p w14:paraId="76631192" w14:textId="4C2E76EF" w:rsidR="00756FF7" w:rsidRDefault="00756FF7" w:rsidP="000B0090">
      <w:pPr>
        <w:jc w:val="both"/>
      </w:pPr>
      <w:r>
        <w:t xml:space="preserve">[1] </w:t>
      </w:r>
      <w:r w:rsidRPr="00695F90">
        <w:t>R4-190</w:t>
      </w:r>
      <w:r w:rsidR="00E15613">
        <w:t>0342</w:t>
      </w:r>
      <w:r w:rsidR="0043502F">
        <w:t>,</w:t>
      </w:r>
      <w:r w:rsidRPr="00695F90">
        <w:t xml:space="preserve"> </w:t>
      </w:r>
      <w:r w:rsidR="00E15613" w:rsidRPr="00E15613">
        <w:t>WF on Transient period capability</w:t>
      </w:r>
      <w:r w:rsidR="00E15613">
        <w:t xml:space="preserve">, </w:t>
      </w:r>
      <w:r w:rsidR="00E15613" w:rsidRPr="00E15613">
        <w:t>Qualcomm Inc, Ericsson, Nokia, Skyworks</w:t>
      </w:r>
      <w:r w:rsidR="00E15613">
        <w:t>, RAN4 #92</w:t>
      </w:r>
    </w:p>
    <w:p w14:paraId="46DDC904" w14:textId="304E748B" w:rsidR="0043502F" w:rsidRDefault="00A926F1" w:rsidP="000B0090">
      <w:pPr>
        <w:jc w:val="both"/>
      </w:pPr>
      <w:r>
        <w:t>[2</w:t>
      </w:r>
      <w:r w:rsidR="0043502F">
        <w:t>]</w:t>
      </w:r>
      <w:r>
        <w:t xml:space="preserve"> TS 38.101-1-g00, User Equipment (UE) radio transmission and reception; Part 1: Range 1 Standalone (Release 16)</w:t>
      </w:r>
    </w:p>
    <w:p w14:paraId="4CD9C260" w14:textId="60CD8F78" w:rsidR="005A1037" w:rsidRDefault="005A1037" w:rsidP="000B0090">
      <w:pPr>
        <w:jc w:val="both"/>
      </w:pPr>
      <w:r>
        <w:t xml:space="preserve">[3] R4-1909940, </w:t>
      </w:r>
      <w:r w:rsidRPr="005A1037">
        <w:t>RF Transient Times Requirements, Use Cases and Testability</w:t>
      </w:r>
      <w:r>
        <w:t>, Skyworks Solutions Inc, RAN4 #92</w:t>
      </w:r>
    </w:p>
    <w:p w14:paraId="4905D40C" w14:textId="206FB597" w:rsidR="000B1866" w:rsidRDefault="000B1866" w:rsidP="000B0090">
      <w:pPr>
        <w:jc w:val="both"/>
        <w:rPr>
          <w:noProof/>
        </w:rPr>
      </w:pPr>
      <w:r>
        <w:t xml:space="preserve">[4] </w:t>
      </w:r>
      <w:r w:rsidRPr="000B1866">
        <w:t>R4-1907985</w:t>
      </w:r>
      <w:r>
        <w:t xml:space="preserve">, Update to FR1 EVM definition, </w:t>
      </w:r>
      <w:r>
        <w:rPr>
          <w:noProof/>
        </w:rPr>
        <w:fldChar w:fldCharType="begin"/>
      </w:r>
      <w:r>
        <w:rPr>
          <w:noProof/>
        </w:rPr>
        <w:instrText xml:space="preserve"> DOCPROPERTY  SourceIfWg  \* MERGEFORMAT </w:instrText>
      </w:r>
      <w:r>
        <w:rPr>
          <w:noProof/>
        </w:rPr>
        <w:fldChar w:fldCharType="separate"/>
      </w:r>
      <w:r>
        <w:rPr>
          <w:noProof/>
        </w:rPr>
        <w:t>Rohde &amp; Schwarz</w:t>
      </w:r>
      <w:r>
        <w:rPr>
          <w:noProof/>
        </w:rPr>
        <w:fldChar w:fldCharType="end"/>
      </w:r>
      <w:r>
        <w:rPr>
          <w:noProof/>
        </w:rPr>
        <w:t>, RAN4 #92.</w:t>
      </w:r>
    </w:p>
    <w:p w14:paraId="78961BC6" w14:textId="048B76F5" w:rsidR="00DC782E" w:rsidRDefault="00DC782E" w:rsidP="000B0090">
      <w:pPr>
        <w:jc w:val="both"/>
      </w:pPr>
      <w:r>
        <w:rPr>
          <w:noProof/>
        </w:rPr>
        <w:t>[5] R4-1909740, Transient period capability, Qualcomm, RAN4 #92.</w:t>
      </w:r>
    </w:p>
    <w:sectPr w:rsidR="00DC782E" w:rsidSect="004F1492">
      <w:headerReference w:type="even" r:id="rId12"/>
      <w:footnotePr>
        <w:numRestart w:val="eachSect"/>
      </w:footnotePr>
      <w:pgSz w:w="11907" w:h="16840" w:code="9"/>
      <w:pgMar w:top="426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025D7" w14:textId="77777777" w:rsidR="00863C74" w:rsidRDefault="00863C74" w:rsidP="002B3503">
      <w:pPr>
        <w:spacing w:after="0"/>
      </w:pPr>
      <w:r>
        <w:separator/>
      </w:r>
    </w:p>
  </w:endnote>
  <w:endnote w:type="continuationSeparator" w:id="0">
    <w:p w14:paraId="1FAF58D8" w14:textId="77777777" w:rsidR="00863C74" w:rsidRDefault="00863C7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F27FB" w14:textId="77777777" w:rsidR="00863C74" w:rsidRDefault="00863C74" w:rsidP="002B3503">
      <w:pPr>
        <w:spacing w:after="0"/>
      </w:pPr>
      <w:r>
        <w:separator/>
      </w:r>
    </w:p>
  </w:footnote>
  <w:footnote w:type="continuationSeparator" w:id="0">
    <w:p w14:paraId="5FAE6100" w14:textId="77777777" w:rsidR="00863C74" w:rsidRDefault="00863C7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736058" w:rsidRDefault="007360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1BA8"/>
    <w:multiLevelType w:val="hybridMultilevel"/>
    <w:tmpl w:val="98BE2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C54"/>
    <w:multiLevelType w:val="hybridMultilevel"/>
    <w:tmpl w:val="10A85A2C"/>
    <w:lvl w:ilvl="0" w:tplc="9E6AAF1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55E38"/>
    <w:multiLevelType w:val="hybridMultilevel"/>
    <w:tmpl w:val="A68AA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C4EB2"/>
    <w:multiLevelType w:val="hybridMultilevel"/>
    <w:tmpl w:val="8BDCF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95EE7"/>
    <w:multiLevelType w:val="hybridMultilevel"/>
    <w:tmpl w:val="1BF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F6861"/>
    <w:multiLevelType w:val="hybridMultilevel"/>
    <w:tmpl w:val="250A3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4A4C"/>
    <w:multiLevelType w:val="hybridMultilevel"/>
    <w:tmpl w:val="00E82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06FA2"/>
    <w:multiLevelType w:val="hybridMultilevel"/>
    <w:tmpl w:val="C66C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9D06A7C"/>
    <w:multiLevelType w:val="hybridMultilevel"/>
    <w:tmpl w:val="5248F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955B7"/>
    <w:multiLevelType w:val="hybridMultilevel"/>
    <w:tmpl w:val="83A4AA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F295D"/>
    <w:multiLevelType w:val="hybridMultilevel"/>
    <w:tmpl w:val="6B3073AE"/>
    <w:lvl w:ilvl="0" w:tplc="6AE8CC68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1975F54"/>
    <w:multiLevelType w:val="hybridMultilevel"/>
    <w:tmpl w:val="D3C85DB0"/>
    <w:lvl w:ilvl="0" w:tplc="905EEAD4">
      <w:start w:val="8"/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53BC0C3A"/>
    <w:multiLevelType w:val="hybridMultilevel"/>
    <w:tmpl w:val="8BE2D980"/>
    <w:lvl w:ilvl="0" w:tplc="89F641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104ADB0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65F8C"/>
    <w:multiLevelType w:val="hybridMultilevel"/>
    <w:tmpl w:val="8A0E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1B57AB"/>
    <w:multiLevelType w:val="hybridMultilevel"/>
    <w:tmpl w:val="5248F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E1DDC"/>
    <w:multiLevelType w:val="hybridMultilevel"/>
    <w:tmpl w:val="7E9C8DCC"/>
    <w:lvl w:ilvl="0" w:tplc="6AE8CC68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16"/>
  </w:num>
  <w:num w:numId="5">
    <w:abstractNumId w:val="0"/>
  </w:num>
  <w:num w:numId="6">
    <w:abstractNumId w:val="2"/>
  </w:num>
  <w:num w:numId="7">
    <w:abstractNumId w:val="15"/>
  </w:num>
  <w:num w:numId="8">
    <w:abstractNumId w:val="5"/>
  </w:num>
  <w:num w:numId="9">
    <w:abstractNumId w:val="6"/>
  </w:num>
  <w:num w:numId="10">
    <w:abstractNumId w:val="7"/>
  </w:num>
  <w:num w:numId="11">
    <w:abstractNumId w:val="12"/>
  </w:num>
  <w:num w:numId="12">
    <w:abstractNumId w:val="18"/>
  </w:num>
  <w:num w:numId="13">
    <w:abstractNumId w:val="3"/>
  </w:num>
  <w:num w:numId="14">
    <w:abstractNumId w:val="9"/>
  </w:num>
  <w:num w:numId="15">
    <w:abstractNumId w:val="11"/>
  </w:num>
  <w:num w:numId="16">
    <w:abstractNumId w:val="17"/>
  </w:num>
  <w:num w:numId="17">
    <w:abstractNumId w:val="14"/>
  </w:num>
  <w:num w:numId="18">
    <w:abstractNumId w:val="10"/>
  </w:num>
  <w:num w:numId="19">
    <w:abstractNumId w:val="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476D"/>
    <w:rsid w:val="00043ED0"/>
    <w:rsid w:val="00044165"/>
    <w:rsid w:val="00091F0B"/>
    <w:rsid w:val="000942BF"/>
    <w:rsid w:val="000A6473"/>
    <w:rsid w:val="000B0090"/>
    <w:rsid w:val="000B1866"/>
    <w:rsid w:val="000B1F87"/>
    <w:rsid w:val="000B4E56"/>
    <w:rsid w:val="000B5E8E"/>
    <w:rsid w:val="000F0774"/>
    <w:rsid w:val="000F2546"/>
    <w:rsid w:val="00101626"/>
    <w:rsid w:val="001364A1"/>
    <w:rsid w:val="001400CF"/>
    <w:rsid w:val="0015000E"/>
    <w:rsid w:val="0016131F"/>
    <w:rsid w:val="001772B2"/>
    <w:rsid w:val="00186C3B"/>
    <w:rsid w:val="001953B8"/>
    <w:rsid w:val="001C0975"/>
    <w:rsid w:val="00207DF2"/>
    <w:rsid w:val="002127E2"/>
    <w:rsid w:val="00214C87"/>
    <w:rsid w:val="00215035"/>
    <w:rsid w:val="0022666B"/>
    <w:rsid w:val="00290D1E"/>
    <w:rsid w:val="00291DDD"/>
    <w:rsid w:val="002A7181"/>
    <w:rsid w:val="002B3503"/>
    <w:rsid w:val="002C6AA1"/>
    <w:rsid w:val="002D2772"/>
    <w:rsid w:val="002D7C6C"/>
    <w:rsid w:val="002F4785"/>
    <w:rsid w:val="002F5513"/>
    <w:rsid w:val="002F6A38"/>
    <w:rsid w:val="00340C56"/>
    <w:rsid w:val="003467D8"/>
    <w:rsid w:val="00347DEA"/>
    <w:rsid w:val="00375FEA"/>
    <w:rsid w:val="003777FE"/>
    <w:rsid w:val="00396235"/>
    <w:rsid w:val="003B209A"/>
    <w:rsid w:val="003C5257"/>
    <w:rsid w:val="003F23AC"/>
    <w:rsid w:val="003F24E3"/>
    <w:rsid w:val="0042109F"/>
    <w:rsid w:val="00426A90"/>
    <w:rsid w:val="00433E65"/>
    <w:rsid w:val="0043450E"/>
    <w:rsid w:val="0043502F"/>
    <w:rsid w:val="00441E89"/>
    <w:rsid w:val="00453BA5"/>
    <w:rsid w:val="00454E53"/>
    <w:rsid w:val="00482477"/>
    <w:rsid w:val="00487EBC"/>
    <w:rsid w:val="00491386"/>
    <w:rsid w:val="0049255D"/>
    <w:rsid w:val="00494F18"/>
    <w:rsid w:val="004A0E80"/>
    <w:rsid w:val="004A41DA"/>
    <w:rsid w:val="004C0103"/>
    <w:rsid w:val="004C58F9"/>
    <w:rsid w:val="004D0C67"/>
    <w:rsid w:val="004D0F95"/>
    <w:rsid w:val="004D3D81"/>
    <w:rsid w:val="004E3B0F"/>
    <w:rsid w:val="004F07FE"/>
    <w:rsid w:val="004F1492"/>
    <w:rsid w:val="004F58CB"/>
    <w:rsid w:val="00560A63"/>
    <w:rsid w:val="00564B2E"/>
    <w:rsid w:val="00570B14"/>
    <w:rsid w:val="00574B8D"/>
    <w:rsid w:val="00581D92"/>
    <w:rsid w:val="00593586"/>
    <w:rsid w:val="00595235"/>
    <w:rsid w:val="005A1037"/>
    <w:rsid w:val="005B2640"/>
    <w:rsid w:val="005E6F89"/>
    <w:rsid w:val="005F34D4"/>
    <w:rsid w:val="005F6CE3"/>
    <w:rsid w:val="00602EB6"/>
    <w:rsid w:val="00612E77"/>
    <w:rsid w:val="00641C2E"/>
    <w:rsid w:val="00641E1F"/>
    <w:rsid w:val="00664DF6"/>
    <w:rsid w:val="00674DAA"/>
    <w:rsid w:val="00695F90"/>
    <w:rsid w:val="006A74B5"/>
    <w:rsid w:val="006B00E2"/>
    <w:rsid w:val="006B2241"/>
    <w:rsid w:val="006B2A63"/>
    <w:rsid w:val="006C486C"/>
    <w:rsid w:val="006C6840"/>
    <w:rsid w:val="006D4817"/>
    <w:rsid w:val="006E2022"/>
    <w:rsid w:val="006F7B15"/>
    <w:rsid w:val="007062CC"/>
    <w:rsid w:val="00717536"/>
    <w:rsid w:val="007259EA"/>
    <w:rsid w:val="00726265"/>
    <w:rsid w:val="00734EBD"/>
    <w:rsid w:val="00736058"/>
    <w:rsid w:val="00756FF7"/>
    <w:rsid w:val="007748C8"/>
    <w:rsid w:val="0077568B"/>
    <w:rsid w:val="0078280A"/>
    <w:rsid w:val="00792ECB"/>
    <w:rsid w:val="007A52B7"/>
    <w:rsid w:val="007B6591"/>
    <w:rsid w:val="007D20DF"/>
    <w:rsid w:val="008236E4"/>
    <w:rsid w:val="00830BCF"/>
    <w:rsid w:val="00843546"/>
    <w:rsid w:val="0084630D"/>
    <w:rsid w:val="00850296"/>
    <w:rsid w:val="00862673"/>
    <w:rsid w:val="00863C74"/>
    <w:rsid w:val="008835F1"/>
    <w:rsid w:val="00890532"/>
    <w:rsid w:val="008A4493"/>
    <w:rsid w:val="008F2081"/>
    <w:rsid w:val="0091383D"/>
    <w:rsid w:val="00940559"/>
    <w:rsid w:val="0098666E"/>
    <w:rsid w:val="00991136"/>
    <w:rsid w:val="00996062"/>
    <w:rsid w:val="009A2039"/>
    <w:rsid w:val="009B1E68"/>
    <w:rsid w:val="009E005B"/>
    <w:rsid w:val="00A129EB"/>
    <w:rsid w:val="00A278D8"/>
    <w:rsid w:val="00A34B59"/>
    <w:rsid w:val="00A451E8"/>
    <w:rsid w:val="00A53652"/>
    <w:rsid w:val="00A6018C"/>
    <w:rsid w:val="00A926F1"/>
    <w:rsid w:val="00A93187"/>
    <w:rsid w:val="00AA0D85"/>
    <w:rsid w:val="00AA4F02"/>
    <w:rsid w:val="00AE6327"/>
    <w:rsid w:val="00AF7CB0"/>
    <w:rsid w:val="00B1207E"/>
    <w:rsid w:val="00B36885"/>
    <w:rsid w:val="00B4385F"/>
    <w:rsid w:val="00B55348"/>
    <w:rsid w:val="00B65B59"/>
    <w:rsid w:val="00B84E40"/>
    <w:rsid w:val="00B90056"/>
    <w:rsid w:val="00BA120F"/>
    <w:rsid w:val="00BC764C"/>
    <w:rsid w:val="00BD66B4"/>
    <w:rsid w:val="00BE520D"/>
    <w:rsid w:val="00BF4B17"/>
    <w:rsid w:val="00BF625C"/>
    <w:rsid w:val="00C13E8D"/>
    <w:rsid w:val="00C21554"/>
    <w:rsid w:val="00C3202C"/>
    <w:rsid w:val="00C3269C"/>
    <w:rsid w:val="00C80065"/>
    <w:rsid w:val="00C81190"/>
    <w:rsid w:val="00D0377E"/>
    <w:rsid w:val="00D05C42"/>
    <w:rsid w:val="00D21D48"/>
    <w:rsid w:val="00D2602D"/>
    <w:rsid w:val="00D275CC"/>
    <w:rsid w:val="00D42375"/>
    <w:rsid w:val="00D45A38"/>
    <w:rsid w:val="00D711E7"/>
    <w:rsid w:val="00D72F3E"/>
    <w:rsid w:val="00D767C4"/>
    <w:rsid w:val="00D77CF5"/>
    <w:rsid w:val="00DC782E"/>
    <w:rsid w:val="00DD4DD1"/>
    <w:rsid w:val="00DD4E7E"/>
    <w:rsid w:val="00E1333E"/>
    <w:rsid w:val="00E15613"/>
    <w:rsid w:val="00E27F6A"/>
    <w:rsid w:val="00E33B68"/>
    <w:rsid w:val="00E63C8D"/>
    <w:rsid w:val="00E830AA"/>
    <w:rsid w:val="00E84C51"/>
    <w:rsid w:val="00E962C5"/>
    <w:rsid w:val="00EA3488"/>
    <w:rsid w:val="00EB1093"/>
    <w:rsid w:val="00EB5F7D"/>
    <w:rsid w:val="00EC589F"/>
    <w:rsid w:val="00ED273F"/>
    <w:rsid w:val="00EE0909"/>
    <w:rsid w:val="00EF7F04"/>
    <w:rsid w:val="00F04BC3"/>
    <w:rsid w:val="00F42FDD"/>
    <w:rsid w:val="00F46A93"/>
    <w:rsid w:val="00F71569"/>
    <w:rsid w:val="00F905E0"/>
    <w:rsid w:val="00F97D64"/>
    <w:rsid w:val="00FA15B3"/>
    <w:rsid w:val="00FA16A9"/>
    <w:rsid w:val="00FD085A"/>
    <w:rsid w:val="00FD543C"/>
    <w:rsid w:val="00FF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F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72F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2F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F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F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F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F3E"/>
    <w:pPr>
      <w:outlineLvl w:val="5"/>
    </w:pPr>
  </w:style>
  <w:style w:type="paragraph" w:styleId="Heading7">
    <w:name w:val="heading 7"/>
    <w:basedOn w:val="H6"/>
    <w:next w:val="Normal"/>
    <w:qFormat/>
    <w:rsid w:val="00D72F3E"/>
    <w:pPr>
      <w:outlineLvl w:val="6"/>
    </w:pPr>
  </w:style>
  <w:style w:type="paragraph" w:styleId="Heading8">
    <w:name w:val="heading 8"/>
    <w:basedOn w:val="Heading1"/>
    <w:next w:val="Normal"/>
    <w:qFormat/>
    <w:rsid w:val="00D72F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F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72F3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F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72F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2F3E"/>
    <w:pPr>
      <w:ind w:left="1701" w:hanging="1701"/>
    </w:pPr>
  </w:style>
  <w:style w:type="paragraph" w:styleId="TOC4">
    <w:name w:val="toc 4"/>
    <w:basedOn w:val="TOC3"/>
    <w:semiHidden/>
    <w:rsid w:val="00D72F3E"/>
    <w:pPr>
      <w:ind w:left="1418" w:hanging="1418"/>
    </w:pPr>
  </w:style>
  <w:style w:type="paragraph" w:styleId="TOC3">
    <w:name w:val="toc 3"/>
    <w:basedOn w:val="TOC2"/>
    <w:semiHidden/>
    <w:rsid w:val="00D72F3E"/>
    <w:pPr>
      <w:ind w:left="1134" w:hanging="1134"/>
    </w:pPr>
  </w:style>
  <w:style w:type="paragraph" w:styleId="TOC2">
    <w:name w:val="toc 2"/>
    <w:basedOn w:val="TOC1"/>
    <w:semiHidden/>
    <w:rsid w:val="00D72F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F3E"/>
    <w:pPr>
      <w:ind w:left="284"/>
    </w:pPr>
  </w:style>
  <w:style w:type="paragraph" w:styleId="Index1">
    <w:name w:val="index 1"/>
    <w:basedOn w:val="Normal"/>
    <w:semiHidden/>
    <w:rsid w:val="00D72F3E"/>
    <w:pPr>
      <w:keepLines/>
      <w:spacing w:after="0"/>
    </w:pPr>
  </w:style>
  <w:style w:type="paragraph" w:customStyle="1" w:styleId="ZH">
    <w:name w:val="ZH"/>
    <w:rsid w:val="00D72F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2F3E"/>
    <w:pPr>
      <w:outlineLvl w:val="9"/>
    </w:pPr>
  </w:style>
  <w:style w:type="paragraph" w:styleId="ListNumber2">
    <w:name w:val="List Number 2"/>
    <w:basedOn w:val="ListNumber"/>
    <w:semiHidden/>
    <w:rsid w:val="00D72F3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72F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72F3E"/>
    <w:rPr>
      <w:b/>
      <w:position w:val="6"/>
      <w:sz w:val="16"/>
    </w:rPr>
  </w:style>
  <w:style w:type="paragraph" w:styleId="FootnoteText">
    <w:name w:val="footnote text"/>
    <w:basedOn w:val="Normal"/>
    <w:semiHidden/>
    <w:rsid w:val="00D72F3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72F3E"/>
    <w:rPr>
      <w:b/>
    </w:rPr>
  </w:style>
  <w:style w:type="paragraph" w:customStyle="1" w:styleId="TAC">
    <w:name w:val="TAC"/>
    <w:basedOn w:val="TAL"/>
    <w:link w:val="TACChar"/>
    <w:qFormat/>
    <w:rsid w:val="00D72F3E"/>
    <w:pPr>
      <w:jc w:val="center"/>
    </w:pPr>
  </w:style>
  <w:style w:type="paragraph" w:customStyle="1" w:styleId="TF">
    <w:name w:val="TF"/>
    <w:aliases w:val="left"/>
    <w:basedOn w:val="TH"/>
    <w:link w:val="TFChar"/>
    <w:rsid w:val="00D72F3E"/>
    <w:pPr>
      <w:keepNext w:val="0"/>
      <w:spacing w:before="0" w:after="240"/>
    </w:pPr>
  </w:style>
  <w:style w:type="paragraph" w:customStyle="1" w:styleId="NO">
    <w:name w:val="NO"/>
    <w:basedOn w:val="Normal"/>
    <w:rsid w:val="00D72F3E"/>
    <w:pPr>
      <w:keepLines/>
      <w:ind w:left="1135" w:hanging="851"/>
    </w:pPr>
  </w:style>
  <w:style w:type="paragraph" w:styleId="TOC9">
    <w:name w:val="toc 9"/>
    <w:basedOn w:val="TOC8"/>
    <w:semiHidden/>
    <w:rsid w:val="00D72F3E"/>
    <w:pPr>
      <w:ind w:left="1418" w:hanging="1418"/>
    </w:pPr>
  </w:style>
  <w:style w:type="paragraph" w:customStyle="1" w:styleId="EX">
    <w:name w:val="EX"/>
    <w:basedOn w:val="Normal"/>
    <w:rsid w:val="00D72F3E"/>
    <w:pPr>
      <w:keepLines/>
      <w:ind w:left="1702" w:hanging="1418"/>
    </w:pPr>
  </w:style>
  <w:style w:type="paragraph" w:customStyle="1" w:styleId="FP">
    <w:name w:val="FP"/>
    <w:basedOn w:val="Normal"/>
    <w:rsid w:val="00D72F3E"/>
    <w:pPr>
      <w:spacing w:after="0"/>
    </w:pPr>
  </w:style>
  <w:style w:type="paragraph" w:customStyle="1" w:styleId="LD">
    <w:name w:val="LD"/>
    <w:rsid w:val="00D72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2F3E"/>
    <w:pPr>
      <w:spacing w:after="0"/>
    </w:pPr>
  </w:style>
  <w:style w:type="paragraph" w:customStyle="1" w:styleId="EW">
    <w:name w:val="EW"/>
    <w:basedOn w:val="EX"/>
    <w:rsid w:val="00D72F3E"/>
    <w:pPr>
      <w:spacing w:after="0"/>
    </w:pPr>
  </w:style>
  <w:style w:type="paragraph" w:styleId="TOC6">
    <w:name w:val="toc 6"/>
    <w:basedOn w:val="TOC5"/>
    <w:next w:val="Normal"/>
    <w:semiHidden/>
    <w:rsid w:val="00D72F3E"/>
    <w:pPr>
      <w:ind w:left="1985" w:hanging="1985"/>
    </w:pPr>
  </w:style>
  <w:style w:type="paragraph" w:styleId="TOC7">
    <w:name w:val="toc 7"/>
    <w:basedOn w:val="TOC6"/>
    <w:next w:val="Normal"/>
    <w:semiHidden/>
    <w:rsid w:val="00D72F3E"/>
    <w:pPr>
      <w:ind w:left="2268" w:hanging="2268"/>
    </w:pPr>
  </w:style>
  <w:style w:type="paragraph" w:styleId="ListBullet2">
    <w:name w:val="List Bullet 2"/>
    <w:basedOn w:val="ListBullet"/>
    <w:semiHidden/>
    <w:rsid w:val="00D72F3E"/>
    <w:pPr>
      <w:ind w:left="851"/>
    </w:pPr>
  </w:style>
  <w:style w:type="paragraph" w:styleId="ListBullet3">
    <w:name w:val="List Bullet 3"/>
    <w:basedOn w:val="ListBullet2"/>
    <w:semiHidden/>
    <w:rsid w:val="00D72F3E"/>
    <w:pPr>
      <w:ind w:left="1135"/>
    </w:pPr>
  </w:style>
  <w:style w:type="paragraph" w:styleId="ListNumber">
    <w:name w:val="List Number"/>
    <w:basedOn w:val="List"/>
    <w:semiHidden/>
    <w:rsid w:val="00D72F3E"/>
  </w:style>
  <w:style w:type="paragraph" w:customStyle="1" w:styleId="EQ">
    <w:name w:val="EQ"/>
    <w:basedOn w:val="Normal"/>
    <w:next w:val="Normal"/>
    <w:rsid w:val="00D72F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72F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F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F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2F3E"/>
    <w:pPr>
      <w:jc w:val="right"/>
    </w:pPr>
  </w:style>
  <w:style w:type="paragraph" w:customStyle="1" w:styleId="H6">
    <w:name w:val="H6"/>
    <w:basedOn w:val="Heading5"/>
    <w:next w:val="Normal"/>
    <w:rsid w:val="00D72F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72F3E"/>
    <w:pPr>
      <w:ind w:left="851" w:hanging="851"/>
    </w:pPr>
  </w:style>
  <w:style w:type="paragraph" w:customStyle="1" w:styleId="TAL">
    <w:name w:val="TAL"/>
    <w:basedOn w:val="Normal"/>
    <w:rsid w:val="00D72F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F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2F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2F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2F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2F3E"/>
    <w:pPr>
      <w:framePr w:wrap="notBeside" w:y="16161"/>
    </w:pPr>
  </w:style>
  <w:style w:type="character" w:customStyle="1" w:styleId="ZGSM">
    <w:name w:val="ZGSM"/>
    <w:rsid w:val="00D72F3E"/>
  </w:style>
  <w:style w:type="paragraph" w:styleId="List2">
    <w:name w:val="List 2"/>
    <w:basedOn w:val="List"/>
    <w:semiHidden/>
    <w:rsid w:val="00D72F3E"/>
    <w:pPr>
      <w:ind w:left="851"/>
    </w:pPr>
  </w:style>
  <w:style w:type="paragraph" w:customStyle="1" w:styleId="ZG">
    <w:name w:val="ZG"/>
    <w:rsid w:val="00D72F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72F3E"/>
    <w:pPr>
      <w:ind w:left="1135"/>
    </w:pPr>
  </w:style>
  <w:style w:type="paragraph" w:styleId="List4">
    <w:name w:val="List 4"/>
    <w:basedOn w:val="List3"/>
    <w:semiHidden/>
    <w:rsid w:val="00D72F3E"/>
    <w:pPr>
      <w:ind w:left="1418"/>
    </w:pPr>
  </w:style>
  <w:style w:type="paragraph" w:styleId="List5">
    <w:name w:val="List 5"/>
    <w:basedOn w:val="List4"/>
    <w:semiHidden/>
    <w:rsid w:val="00D72F3E"/>
    <w:pPr>
      <w:ind w:left="1702"/>
    </w:pPr>
  </w:style>
  <w:style w:type="paragraph" w:customStyle="1" w:styleId="EditorsNote">
    <w:name w:val="Editor's Note"/>
    <w:basedOn w:val="NO"/>
    <w:rsid w:val="00D72F3E"/>
    <w:rPr>
      <w:color w:val="FF0000"/>
    </w:rPr>
  </w:style>
  <w:style w:type="paragraph" w:styleId="List">
    <w:name w:val="List"/>
    <w:basedOn w:val="Normal"/>
    <w:semiHidden/>
    <w:rsid w:val="00D72F3E"/>
    <w:pPr>
      <w:ind w:left="568" w:hanging="284"/>
    </w:pPr>
  </w:style>
  <w:style w:type="paragraph" w:styleId="ListBullet">
    <w:name w:val="List Bullet"/>
    <w:basedOn w:val="List"/>
    <w:semiHidden/>
    <w:rsid w:val="00D72F3E"/>
  </w:style>
  <w:style w:type="paragraph" w:styleId="ListBullet4">
    <w:name w:val="List Bullet 4"/>
    <w:basedOn w:val="ListBullet3"/>
    <w:semiHidden/>
    <w:rsid w:val="00D72F3E"/>
    <w:pPr>
      <w:ind w:left="1418"/>
    </w:pPr>
  </w:style>
  <w:style w:type="paragraph" w:styleId="ListBullet5">
    <w:name w:val="List Bullet 5"/>
    <w:basedOn w:val="ListBullet4"/>
    <w:semiHidden/>
    <w:rsid w:val="00D72F3E"/>
    <w:pPr>
      <w:ind w:left="1702"/>
    </w:pPr>
  </w:style>
  <w:style w:type="paragraph" w:customStyle="1" w:styleId="B1">
    <w:name w:val="B1"/>
    <w:basedOn w:val="List"/>
    <w:link w:val="B1Char"/>
    <w:rsid w:val="00D72F3E"/>
  </w:style>
  <w:style w:type="paragraph" w:customStyle="1" w:styleId="B2">
    <w:name w:val="B2"/>
    <w:basedOn w:val="List2"/>
    <w:rsid w:val="00D72F3E"/>
  </w:style>
  <w:style w:type="paragraph" w:customStyle="1" w:styleId="B3">
    <w:name w:val="B3"/>
    <w:basedOn w:val="List3"/>
    <w:rsid w:val="00D72F3E"/>
  </w:style>
  <w:style w:type="paragraph" w:customStyle="1" w:styleId="B4">
    <w:name w:val="B4"/>
    <w:basedOn w:val="List4"/>
    <w:rsid w:val="00D72F3E"/>
  </w:style>
  <w:style w:type="paragraph" w:customStyle="1" w:styleId="B5">
    <w:name w:val="B5"/>
    <w:basedOn w:val="List5"/>
    <w:rsid w:val="00D72F3E"/>
  </w:style>
  <w:style w:type="paragraph" w:styleId="Footer">
    <w:name w:val="footer"/>
    <w:basedOn w:val="Header"/>
    <w:semiHidden/>
    <w:rsid w:val="00D72F3E"/>
    <w:pPr>
      <w:jc w:val="center"/>
    </w:pPr>
    <w:rPr>
      <w:i/>
    </w:rPr>
  </w:style>
  <w:style w:type="paragraph" w:customStyle="1" w:styleId="ZTD">
    <w:name w:val="ZTD"/>
    <w:basedOn w:val="ZB"/>
    <w:rsid w:val="00D72F3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72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0F9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926F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D4D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etsi.org/webapp/MeetingCalendar/MeetingDetails.asp?m_id=1877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2001</Words>
  <Characters>11412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Laurent Noel</dc:creator>
  <cp:keywords>ESA, style sheet, Winword</cp:keywords>
  <dc:description/>
  <cp:lastModifiedBy>Laurent Noel</cp:lastModifiedBy>
  <cp:revision>3</cp:revision>
  <cp:lastPrinted>1900-01-01T08:00:00Z</cp:lastPrinted>
  <dcterms:created xsi:type="dcterms:W3CDTF">2019-10-04T20:12:00Z</dcterms:created>
  <dcterms:modified xsi:type="dcterms:W3CDTF">2019-10-04T20:12:00Z</dcterms:modified>
</cp:coreProperties>
</file>